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RAISE3D E2CF</w:t>
      </w:r>
    </w:p>
    <w:p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t xml:space="preserve">Imprimante 3D FFF IDEX - Fibres de carbone et matériaux composites haute performance</w:t>
      </w:r>
    </w:p>
    <w:p>
      <w:pPr>
        <w:spacing w:after="250"/>
        <w:jc w:val="center"/>
      </w:pPr>
      <w:r>
        <w:rPr>
          <w:color w:val="777777"/>
          <w:sz w:val="20"/>
          <w:szCs w:val="20"/>
        </w:rPr>
        <w:t xml:space="preserve">Réf. E2CF · Raise3D Technologies · 9 parties · 55 composants · 18 actions de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DEFF7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330×240×240 mm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Volume (mono ext.)</w:t>
            </w:r>
          </w:p>
        </w:tc>
        <w:tc>
          <w:tcPr>
            <w:tcW w:type="dxa" w:w="1872"/>
            <w:shd w:fill="EDEFF7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295×240×240 mm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Volume (dual ext.)</w:t>
            </w:r>
          </w:p>
        </w:tc>
        <w:tc>
          <w:tcPr>
            <w:tcW w:type="dxa" w:w="1872"/>
            <w:shd w:fill="EDEFF7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300 °C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Temp. buse max</w:t>
            </w:r>
          </w:p>
        </w:tc>
        <w:tc>
          <w:tcPr>
            <w:tcW w:type="dxa" w:w="1872"/>
            <w:shd w:fill="EDEFF7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110 °C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Temp. plateau max</w:t>
            </w:r>
          </w:p>
        </w:tc>
        <w:tc>
          <w:tcPr>
            <w:tcW w:type="dxa" w:w="1872"/>
            <w:shd w:fill="EDEFF7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30–150 mm/s</w:t>
            </w:r>
          </w:p>
          <w:p>
            <w:pPr>
              <w:jc w:val="center"/>
            </w:pPr>
            <w:r>
              <w:rPr>
                <w:color w:val="444444"/>
                <w:sz w:val="16"/>
                <w:szCs w:val="16"/>
              </w:rPr>
              <w:t xml:space="preserve">Vitesse impression</w:t>
            </w:r>
          </w:p>
        </w:tc>
      </w:tr>
    </w:tbl>
    <w:p>
      <w:pPr>
        <w:spacing w:after="250" w:before="100"/>
      </w:pPr>
      <w:r>
        <w:rPr>
          <w:i/>
          <w:iCs/>
          <w:color w:val="666666"/>
          <w:sz w:val="18"/>
          <w:szCs w:val="18"/>
        </w:rPr>
        <w:t xml:space="preserve">Hauteur de couche : 0,1–0,25 mm</w:t>
      </w:r>
    </w:p>
    <w:p>
      <w:pPr>
        <w:pStyle w:val="Heading1"/>
        <w:spacing w:after="150" w:before="300"/>
      </w:pPr>
      <w:r>
        <w:t xml:space="preserve">1. Légende des codes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Découpage fonctionnel en 9 parties codifiées pour la gestion de maintenance. Chaque composant est référencé sous la forme CODE-XX (ex. EXT-01 pour la tête IDEX gauche, FIL-01 pour la dry box gauche).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Partie / Sous-système</w:t>
            </w:r>
          </w:p>
        </w:tc>
        <w:tc>
          <w:tcPr>
            <w:tcW w:type="dxa" w:w="5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MEC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 mécanique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Châssis aluminium, capot, plateau, portes et fixations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EXT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Extrusion / Têtes d'impression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Système IDEX, extrudeurs direct drive, buses SiC, hotend V4P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AXE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Axes et guidage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Axes X/Y/Z, rails linéaires, courroies, vis à billes Z, moteurs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PLT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Plateau chauffant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Plateau flexible BuildTak, chauffage silicone, nivellement auto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ELC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Électronique / Commande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Carte mère, alimentation 24 V / 350 W, écran RaiseTouch, câblage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SEC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Sécurité / Capteurs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Capteur de fin de filament, capteur optique nivellement, caméra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FIL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Filaments / Boîtes sèches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Dry box scellées, capteurs humidité, guide-tube, support bobines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LOG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Logiciel / Connectivité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ideaMaker, RaiseCloud, firmware, Wi-Fi / LAN / USB, mises à jour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OPT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Options et périphériques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Cabinet, buses supplémentaires, filaments industriels, accessoires</w:t>
            </w:r>
          </w:p>
        </w:tc>
      </w:tr>
    </w:tbl>
    <w:p>
      <w:pPr>
        <w:pStyle w:val="Heading1"/>
        <w:spacing w:after="150" w:before="300"/>
      </w:pPr>
      <w:r>
        <w:t xml:space="preserve">2. Découpage par sous-système</w:t>
      </w:r>
    </w:p>
    <w:p>
      <w:pPr>
        <w:pStyle w:val="Heading2"/>
        <w:spacing w:after="120" w:before="250"/>
      </w:pPr>
      <w:r>
        <w:t xml:space="preserve">[MEC] Structure mécanique</w:t>
      </w:r>
    </w:p>
    <w:p>
      <w:pPr>
        <w:spacing w:after="150"/>
      </w:pPr>
      <w:r>
        <w:rPr>
          <w:b w:val="false"/>
          <w:bCs w:val="false"/>
          <w:i/>
          <w:iCs/>
          <w:sz w:val="22"/>
          <w:szCs w:val="22"/>
        </w:rPr>
        <w:t xml:space="preserve">Châssis aluminium tout-métal, enceinte fermée, filtre HEPA intégré, fixations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5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MEC-01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Châssis aluminium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 porteuse tout-métal, rigidité élevée pour précision dimensionnelle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MEC-02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Capot supérieur et parois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Enceinte fermée réduisant les courants d'air et maintenant la température ambiante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MEC-03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Porte avant / panneau d'accès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Porte d'accès pour chargement pièces et maintenance quotidienne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MEC-04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Panneau latéral droit / gauche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Parois latérales supportant les boîtes sèches et les connecteurs filament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MEC-05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Pied antivibration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Patins stabilisateurs réduisant les vibrations et le bruit (&lt; 50 dB)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MEC-06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Filtre HEPA intégré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Filtration des nanoparticules et COV émis pendant l'impression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MEC-07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Visserie / fixations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Ensemble de boulonnerie, écrous et inserts structure</w:t>
            </w:r>
          </w:p>
        </w:tc>
      </w:tr>
    </w:tbl>
    <w:p>
      <w:pPr>
        <w:pStyle w:val="Heading2"/>
        <w:spacing w:after="120" w:before="250"/>
      </w:pPr>
      <w:r>
        <w:t xml:space="preserve">[EXT] Extrusion / Têtes d'impression IDEX</w:t>
      </w:r>
    </w:p>
    <w:p>
      <w:pPr>
        <w:spacing w:after="150"/>
      </w:pPr>
      <w:r>
        <w:rPr>
          <w:b w:val="false"/>
          <w:bCs w:val="false"/>
          <w:i/>
          <w:iCs/>
          <w:sz w:val="22"/>
          <w:szCs w:val="22"/>
        </w:rPr>
        <w:t xml:space="preserve">Deux extrudeurs direct drive indépendants, buses SiC, engrenages acier trempé, hotend V4P 300 °C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5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EXT-01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Tête d'impression gauche (IDEX)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Extrudeur gauche indépendant - impression principale ou copie miroir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EXT-02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Tête d'impression droite (IDEX)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Extrudeur droit indépendant - matière de support ou impression dupliquée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EXT-03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Engrenages acier trempé (dual drive)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Paire d'engrenages haute dureté profilés pour maintien filament CF sans glissement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EXT-04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Buse carbure de silicium (SiC) Ø0,4 mm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Buse résistante à l'abrasion des fibres de carbone, conductivité thermique élevée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EXT-05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Buse SiC Ø0,6 mm (disponible)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Buse plus large pour débits élevés avec filaments chargés fibres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EXT-06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Buse SiC Ø0,8 mm (disponible)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Buse grande ouverture pour pièces techniques à remplissage dense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EXT-07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Hotend V4P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 chauffe-tout-métal, Tmax 300 °C, compatible matériaux hautes températures</w:t>
            </w:r>
          </w:p>
        </w:tc>
      </w:tr>
    </w:tbl>
    <w:p>
      <w:pPr>
        <w:pStyle w:val="Heading2"/>
        <w:spacing w:after="120" w:before="250"/>
      </w:pPr>
      <w:r>
        <w:t xml:space="preserve">[AXE] Axes et guidage</w:t>
      </w:r>
    </w:p>
    <w:p>
      <w:pPr>
        <w:spacing w:after="150"/>
      </w:pPr>
      <w:r>
        <w:rPr>
          <w:b w:val="false"/>
          <w:bCs w:val="false"/>
          <w:i/>
          <w:iCs/>
          <w:sz w:val="22"/>
          <w:szCs w:val="22"/>
        </w:rPr>
        <w:t xml:space="preserve">Rails linéaires X (×2 indépendants), Y, vis trapézoïdales Z synchrones, moteurs pas à pas dédiés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5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AXE-01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Axe X gauche (chariot extrudeur G)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Rail linéaire et courroie GT2 - déplacement indépendant tête gauche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AXE-02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Axe X droit (chariot extrudeur D)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Rail linéaire et courroie GT2 - déplacement indépendant tête droite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AXE-03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Axe Y (plateau)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Rail et courroie GT2 pilotant le déplacement avant-arrière du plateau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AXE-04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Axe Z (vis trapézoïdale)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Deux vis trapézoïdales synchrones pilotant la montée/descente du plateau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AXE-05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Moteur pas à pas axe X-G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Moteur NEMA dédié déplacement tête gauche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AXE-06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Moteur pas à pas axe X-D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Moteur NEMA dédié déplacement tête droite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AXE-07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Moteur pas à pas axe Y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Moteur NEMA pilotage axe Y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AXE-08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Moteurs pas à pas axe Z (×2)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Paire de moteurs NEMA synchronisés pour l'axe Z</w:t>
            </w:r>
          </w:p>
        </w:tc>
      </w:tr>
    </w:tbl>
    <w:p>
      <w:pPr>
        <w:pStyle w:val="Heading2"/>
        <w:spacing w:after="120" w:before="250"/>
      </w:pPr>
      <w:r>
        <w:t xml:space="preserve">[PLT] Plateau chauffant</w:t>
      </w:r>
    </w:p>
    <w:p>
      <w:pPr>
        <w:spacing w:after="150"/>
      </w:pPr>
      <w:r>
        <w:rPr>
          <w:b w:val="false"/>
          <w:bCs w:val="false"/>
          <w:i/>
          <w:iCs/>
          <w:sz w:val="22"/>
          <w:szCs w:val="22"/>
        </w:rPr>
        <w:t xml:space="preserve">Plateau flexible BuildTak magnétique, chauffage silicone 110 °C, nivellement automatique mesh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5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PLT-01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Plateau acier flexible (BuildTak)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Plateau magnétique flexible avec surface BuildTak - démoulage facile par flexion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PLT-02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Élément chauffant silicone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Chauffage uniforme du plateau jusqu'à 110 °C (silicone haute performance)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PLT-03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Thermistance plateau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Capteur de température NTC pour régulation PID du plateau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PLT-04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Système de nivellement automatique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Capteur optique haute précision + maillage (mesh leveling + flatness detection)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PLT-05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Plateau support (aluminium)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Plaque aluminium portant l'élément chauffant et le plateau flexible</w:t>
            </w:r>
          </w:p>
        </w:tc>
      </w:tr>
    </w:tbl>
    <w:p>
      <w:pPr>
        <w:pStyle w:val="Heading2"/>
        <w:spacing w:after="120" w:before="250"/>
      </w:pPr>
      <w:r>
        <w:t xml:space="preserve">[ELC] Électronique / Commande</w:t>
      </w:r>
    </w:p>
    <w:p>
      <w:pPr>
        <w:spacing w:after="150"/>
      </w:pPr>
      <w:r>
        <w:rPr>
          <w:b w:val="false"/>
          <w:bCs w:val="false"/>
          <w:i/>
          <w:iCs/>
          <w:sz w:val="22"/>
          <w:szCs w:val="22"/>
        </w:rPr>
        <w:t xml:space="preserve">Carte mère 32 bits, alimentation 24 V/350 W, écran RaiseTouch 7", LED, Wi-Fi/LAN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5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ELC-01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Carte mère (motion control)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Contrôleur de mouvement 32 bits gérant les 5 axes moteurs et les périphériques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ELC-02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Alimentation 100–240 V / 24 V DC 350 W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Alimentation universelle AC/DC, commutation automatique tension secteur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ELC-03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Écran tactile RaiseTouch 7"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 opérateur couleur : statut, fichiers, utilitaires, alertes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ELC-04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Bouton économie d'énergie / redémarrage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Appui court : veille écran/LED ; appui long 10 s : redémarrage machine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ELC-05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LED d'éclairage intérieur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Barre LED éclairant l'enceinte pour surveillance visuelle et caméra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ELC-06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 Wi-Fi / LAN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Connectivité réseau pour envoi de fichiers, monitoring RaiseCloud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ELC-07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Câblage général et gaines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Câblage inter-composants, chaînes porte-câbles et connecteurs</w:t>
            </w:r>
          </w:p>
        </w:tc>
      </w:tr>
    </w:tbl>
    <w:p>
      <w:pPr>
        <w:pStyle w:val="Heading2"/>
        <w:spacing w:after="120" w:before="250"/>
      </w:pPr>
      <w:r>
        <w:t xml:space="preserve">[SEC] Sécurité / Capteurs</w:t>
      </w:r>
    </w:p>
    <w:p>
      <w:pPr>
        <w:spacing w:after="150"/>
      </w:pPr>
      <w:r>
        <w:rPr>
          <w:b w:val="false"/>
          <w:bCs w:val="false"/>
          <w:i/>
          <w:iCs/>
          <w:sz w:val="22"/>
          <w:szCs w:val="22"/>
        </w:rPr>
        <w:t xml:space="preserve">Capteurs fin de filament, nivellement optique, caméra RaiseCloud, reprise coupure, fins de course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5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SEC-01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Capteur fin de filament (gauche)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Détection rupture / fin bobine extrudeur gauche - pause automatique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SEC-02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Capteur fin de filament (droit)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Détection rupture / fin bobine extrudeur droit - pause automatique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SEC-03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Capteur optique nivellement auto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Sonde haute précision pour calibration plateau et détection planéité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SEC-04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Caméra intégrée (RaiseCloud)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Surveillance visuelle temps réel de l'impression, accessible à distance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SEC-05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Détection coupure secteur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Reprise d'impression automatique après coupure électrique (power resume)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SEC-06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Fins de course axes X/Y/Z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Butées électriques de référencement (home) et limites mécaniques</w:t>
            </w:r>
          </w:p>
        </w:tc>
      </w:tr>
    </w:tbl>
    <w:p>
      <w:pPr>
        <w:pStyle w:val="Heading2"/>
        <w:spacing w:after="120" w:before="250"/>
      </w:pPr>
      <w:r>
        <w:t xml:space="preserve">[FIL] Filaments / Boîtes sèches</w:t>
      </w:r>
    </w:p>
    <w:p>
      <w:pPr>
        <w:spacing w:after="150"/>
      </w:pPr>
      <w:r>
        <w:rPr>
          <w:b w:val="false"/>
          <w:bCs w:val="false"/>
          <w:i/>
          <w:iCs/>
          <w:sz w:val="22"/>
          <w:szCs w:val="22"/>
        </w:rPr>
        <w:t xml:space="preserve">Dry boxes scellées (×2), gel de silice, guide-tubes PTFE, bobines jusqu'à 3 kg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5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FIL-01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Boîte sèche gauche (Dry Box)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Boîte scellée maintenant le filament gauche à l'abri de l'humidité (≤ 30 j)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FIL-02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Boîte sèche droite (Dry Box)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Boîte scellée maintenant le filament droit à l'abri de l'humidité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FIL-03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Plateau suspension bobine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intérieur permettant un déroulement filament sans résistance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FIL-04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Guide-tube PTFE + connecteur rapide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Acheminement filament de la dry box vers l'extrudeur sans friction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FIL-05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Sachets gel de silice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Absorbants d'humidité placés dans les dry boxes, à renouveler régulièrement</w:t>
            </w:r>
          </w:p>
        </w:tc>
      </w:tr>
    </w:tbl>
    <w:p>
      <w:pPr>
        <w:pStyle w:val="Heading2"/>
        <w:spacing w:after="120" w:before="250"/>
      </w:pPr>
      <w:r>
        <w:t xml:space="preserve">[LOG] Logiciel / Connectivité</w:t>
      </w:r>
    </w:p>
    <w:p>
      <w:pPr>
        <w:spacing w:after="150"/>
      </w:pPr>
      <w:r>
        <w:rPr>
          <w:b w:val="false"/>
          <w:bCs w:val="false"/>
          <w:i/>
          <w:iCs/>
          <w:sz w:val="22"/>
          <w:szCs w:val="22"/>
        </w:rPr>
        <w:t xml:space="preserve">ideaMaker slicer, profils OFP, RaiseCloud, firmware, Wi-Fi / LAN / USB, mises à jour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5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LOG-01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Logiciel ideaMaker (PC/Mac)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Slicer propriétaire : profils validés, import STL/OBJ/3MF, gestion queues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LOG-02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Bibliothèque profils filaments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Profils pré-réglés pour PA12 CF, PPA CF, PET CF, PLA, ABS, PETG… (OFP)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LOG-03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Plateforme RaiseCloud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Supervision à distance, envoi fichiers, monitoring caméra, gestion flotte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LOG-04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Firmware imprimante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Firmware embarqué contrôlant axes, températures, sécurités - MAJ USB/LAN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LOG-05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Connectivité Wi-Fi / LAN / USB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Transfert fichiers .gcode/.data, accès distant, port USB clé / PC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LOG-06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Mises à jour firmware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Mises à jour disponibles via Raise3D Download Center ou interface RaiseTouch</w:t>
            </w:r>
          </w:p>
        </w:tc>
      </w:tr>
    </w:tbl>
    <w:p>
      <w:pPr>
        <w:pStyle w:val="Heading2"/>
        <w:spacing w:after="120" w:before="250"/>
      </w:pPr>
      <w:r>
        <w:t xml:space="preserve">[OPT] Options et périphériques</w:t>
      </w:r>
    </w:p>
    <w:p>
      <w:pPr>
        <w:spacing w:after="150"/>
      </w:pPr>
      <w:r>
        <w:rPr>
          <w:b w:val="false"/>
          <w:bCs w:val="false"/>
          <w:i/>
          <w:iCs/>
          <w:sz w:val="22"/>
          <w:szCs w:val="22"/>
        </w:rPr>
        <w:t xml:space="preserve">Cabinet, RaiseShield, buses de rechange SiC, filaments industriels, accessoires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5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OPT-01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Cabinet Raise3D (taille standard)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Meuble dédié avec rangement et protection de l'imprimante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OPT-02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RaiseShield 1 an / 2 ans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Extension garantie couvrant composants électriques et mécaniques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OPT-03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Buses SiC supplémentaires (Ø0,4/0,6/0,8)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Buses de rechange en carbure de silicium pour matériaux CF abrasifs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OPT-04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Filaments industriels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Raise3D PA12 CF, PA12 CF+, PPA CF, PPA GF, PET CF, PETG ESD, matières support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OPT-05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Kit nettoyage buses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Fils d'acier, outils de débouchage et nettoyage des buses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OPT-06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Plaque flexible BuildTak de rechange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Plateau d'impression de remplacement (surface BuildTak magnétique)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2026-07-16T12:09:37.687Z</dcterms:created>
  <dcterms:modified xsi:type="dcterms:W3CDTF">2026-07-16T12:09:37.701Z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