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DOSSIER DE GESTION DE MAINTENANCE</w:t>
      </w:r>
    </w:p>
    <w:p>
      <w:pPr>
        <w:spacing w:after="50"/>
        <w:jc w:val="center"/>
      </w:pPr>
      <w:r>
        <w:rPr>
          <w:b/>
          <w:bCs/>
          <w:color w:val="2E5395"/>
          <w:sz w:val="26"/>
          <w:szCs w:val="26"/>
        </w:rPr>
        <w:t xml:space="preserve">Perceuse / Fraiseuse 3 Axes</w:t>
      </w:r>
    </w:p>
    <w:p>
      <w:pPr>
        <w:spacing w:after="300"/>
        <w:jc w:val="center"/>
      </w:pPr>
      <w:r>
        <w:rPr>
          <w:i/>
          <w:iCs/>
          <w:sz w:val="22"/>
          <w:szCs w:val="22"/>
        </w:rPr>
        <w:t xml:space="preserve">TECHNODRILL - C.I.F Circuit Imprimé Français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pct" w:w="35%"/>
            <w:shd w:fill="1F3864" w:val="clear"/>
            <w:vAlign w:val="center"/>
          </w:tcPr>
          <w:p>
            <w:pPr>
              <w:jc w:val="center"/>
            </w:pPr>
            <w:r>
              <w:rPr>
                <w:b/>
                <w:bCs/>
                <w:color w:val="FFFFFF"/>
                <w:sz w:val="20"/>
                <w:szCs w:val="20"/>
              </w:rPr>
              <w:t xml:space="preserve">Champ</w:t>
            </w:r>
          </w:p>
        </w:tc>
        <w:tc>
          <w:tcPr>
            <w:tcW w:type="pct" w:w="65%"/>
            <w:shd w:fill="1F3864" w:val="clear"/>
            <w:vAlign w:val="center"/>
          </w:tcPr>
          <w:p>
            <w:pPr>
              <w:jc w:val="center"/>
            </w:pPr>
            <w:r>
              <w:rPr>
                <w:b/>
                <w:bCs/>
                <w:color w:val="FFFFFF"/>
                <w:sz w:val="20"/>
                <w:szCs w:val="20"/>
              </w:rPr>
              <w:t xml:space="preserve">Valeur</w:t>
            </w:r>
          </w:p>
        </w:tc>
      </w:tr>
      <w:tr>
        <w:tc>
          <w:tcPr>
            <w:tcW w:type="pct" w:w="35%"/>
            <w:shd w:fill="D9E2F3" w:val="clear"/>
            <w:vAlign w:val="center"/>
          </w:tcPr>
          <w:p>
            <w:r>
              <w:rPr>
                <w:b/>
                <w:bCs/>
                <w:sz w:val="19"/>
                <w:szCs w:val="19"/>
              </w:rPr>
              <w:t xml:space="preserve">Équipement</w:t>
            </w:r>
          </w:p>
        </w:tc>
        <w:tc>
          <w:tcPr>
            <w:tcW w:type="pct" w:w="65%"/>
            <w:shd w:fill="D9E2F3" w:val="clear"/>
            <w:vAlign w:val="center"/>
          </w:tcPr>
          <w:p>
            <w:r>
              <w:rPr>
                <w:b w:val="false"/>
                <w:bCs w:val="false"/>
                <w:sz w:val="19"/>
                <w:szCs w:val="19"/>
              </w:rPr>
              <w:t xml:space="preserve">PERCEUSE / FRAISEUSE 3 AXES TECHNODRILL</w:t>
            </w:r>
          </w:p>
        </w:tc>
      </w:tr>
      <w:tr>
        <w:tc>
          <w:tcPr>
            <w:tcW w:type="pct" w:w="35%"/>
            <w:vAlign w:val="center"/>
          </w:tcPr>
          <w:p>
            <w:r>
              <w:rPr>
                <w:b/>
                <w:bCs/>
                <w:sz w:val="19"/>
                <w:szCs w:val="19"/>
              </w:rPr>
              <w:t xml:space="preserve">Référence</w:t>
            </w:r>
          </w:p>
        </w:tc>
        <w:tc>
          <w:tcPr>
            <w:tcW w:type="pct" w:w="65%"/>
            <w:vAlign w:val="center"/>
          </w:tcPr>
          <w:p>
            <w:r>
              <w:rPr>
                <w:b w:val="false"/>
                <w:bCs w:val="false"/>
                <w:sz w:val="19"/>
                <w:szCs w:val="19"/>
              </w:rPr>
              <w:t xml:space="preserve">C11 000 / C11 020</w:t>
            </w:r>
          </w:p>
        </w:tc>
      </w:tr>
      <w:tr>
        <w:tc>
          <w:tcPr>
            <w:tcW w:type="pct" w:w="35%"/>
            <w:shd w:fill="D9E2F3" w:val="clear"/>
            <w:vAlign w:val="center"/>
          </w:tcPr>
          <w:p>
            <w:r>
              <w:rPr>
                <w:b/>
                <w:bCs/>
                <w:sz w:val="19"/>
                <w:szCs w:val="19"/>
              </w:rPr>
              <w:t xml:space="preserve">Fabricant</w:t>
            </w:r>
          </w:p>
        </w:tc>
        <w:tc>
          <w:tcPr>
            <w:tcW w:type="pct" w:w="65%"/>
            <w:shd w:fill="D9E2F3" w:val="clear"/>
            <w:vAlign w:val="center"/>
          </w:tcPr>
          <w:p>
            <w:r>
              <w:rPr>
                <w:b w:val="false"/>
                <w:bCs w:val="false"/>
                <w:sz w:val="19"/>
                <w:szCs w:val="19"/>
              </w:rPr>
              <w:t xml:space="preserve">C.I.F - Circuit Imprimé Français, Bagneux (France)</w:t>
            </w:r>
          </w:p>
        </w:tc>
      </w:tr>
      <w:tr>
        <w:tc>
          <w:tcPr>
            <w:tcW w:type="pct" w:w="35%"/>
            <w:vAlign w:val="center"/>
          </w:tcPr>
          <w:p>
            <w:r>
              <w:rPr>
                <w:b/>
                <w:bCs/>
                <w:sz w:val="19"/>
                <w:szCs w:val="19"/>
              </w:rPr>
              <w:t xml:space="preserve">Puissance broche</w:t>
            </w:r>
          </w:p>
        </w:tc>
        <w:tc>
          <w:tcPr>
            <w:tcW w:type="pct" w:w="65%"/>
            <w:vAlign w:val="center"/>
          </w:tcPr>
          <w:p>
            <w:r>
              <w:rPr>
                <w:b w:val="false"/>
                <w:bCs w:val="false"/>
                <w:sz w:val="19"/>
                <w:szCs w:val="19"/>
              </w:rPr>
              <w:t xml:space="preserve">900 W - 8 000 à 26 000 tr/min</w:t>
            </w:r>
          </w:p>
        </w:tc>
      </w:tr>
      <w:tr>
        <w:tc>
          <w:tcPr>
            <w:tcW w:type="pct" w:w="35%"/>
            <w:shd w:fill="D9E2F3" w:val="clear"/>
            <w:vAlign w:val="center"/>
          </w:tcPr>
          <w:p>
            <w:r>
              <w:rPr>
                <w:b/>
                <w:bCs/>
                <w:sz w:val="19"/>
                <w:szCs w:val="19"/>
              </w:rPr>
              <w:t xml:space="preserve">Masse</w:t>
            </w:r>
          </w:p>
        </w:tc>
        <w:tc>
          <w:tcPr>
            <w:tcW w:type="pct" w:w="65%"/>
            <w:shd w:fill="D9E2F3" w:val="clear"/>
            <w:vAlign w:val="center"/>
          </w:tcPr>
          <w:p>
            <w:r>
              <w:rPr>
                <w:b w:val="false"/>
                <w:bCs w:val="false"/>
                <w:sz w:val="19"/>
                <w:szCs w:val="19"/>
              </w:rPr>
              <w:t xml:space="preserve">64 kg</w:t>
            </w:r>
          </w:p>
        </w:tc>
      </w:tr>
      <w:tr>
        <w:tc>
          <w:tcPr>
            <w:tcW w:type="pct" w:w="35%"/>
            <w:vAlign w:val="center"/>
          </w:tcPr>
          <w:p>
            <w:r>
              <w:rPr>
                <w:b/>
                <w:bCs/>
                <w:sz w:val="19"/>
                <w:szCs w:val="19"/>
              </w:rPr>
              <w:t xml:space="preserve">Document établi par</w:t>
            </w:r>
          </w:p>
        </w:tc>
        <w:tc>
          <w:tcPr>
            <w:tcW w:type="pct" w:w="65%"/>
            <w:vAlign w:val="center"/>
          </w:tcPr>
          <w:p>
            <w:r>
              <w:rPr>
                <w:b w:val="false"/>
                <w:bCs w:val="false"/>
                <w:sz w:val="19"/>
                <w:szCs w:val="19"/>
              </w:rPr>
              <w:t xml:space="preserve">Service Maintenance</w:t>
            </w:r>
          </w:p>
        </w:tc>
      </w:tr>
      <w:tr>
        <w:tc>
          <w:tcPr>
            <w:tcW w:type="pct" w:w="35%"/>
            <w:shd w:fill="D9E2F3" w:val="clear"/>
            <w:vAlign w:val="center"/>
          </w:tcPr>
          <w:p>
            <w:r>
              <w:rPr>
                <w:b/>
                <w:bCs/>
                <w:sz w:val="19"/>
                <w:szCs w:val="19"/>
              </w:rPr>
              <w:t xml:space="preserve">Version / Date</w:t>
            </w:r>
          </w:p>
        </w:tc>
        <w:tc>
          <w:tcPr>
            <w:tcW w:type="pct" w:w="65%"/>
            <w:shd w:fill="D9E2F3" w:val="clear"/>
            <w:vAlign w:val="center"/>
          </w:tcPr>
          <w:p>
            <w:r>
              <w:rPr>
                <w:b w:val="false"/>
                <w:bCs w:val="false"/>
                <w:sz w:val="19"/>
                <w:szCs w:val="19"/>
              </w:rPr>
              <w:t xml:space="preserve">Version 1.0 - Mars 2026</w:t>
            </w:r>
          </w:p>
        </w:tc>
      </w:tr>
    </w:tbl>
    <w:p>
      <w:pPr>
        <w:spacing w:after="200" w:before="200"/>
      </w:pPr>
      <w:r>
        <w:rPr>
          <w:i/>
          <w:iCs/>
          <w:color w:val="555555"/>
          <w:sz w:val="18"/>
          <w:szCs w:val="18"/>
        </w:rPr>
        <w:t xml:space="preserve">Découpage Fonctionnel  •  Codification  •  Intervenants  •  Types de Pannes  •  Plan de Maintenance  •  KPI  •  Fiche OPTIMAINT</w:t>
      </w:r>
    </w:p>
    <w:p>
      <w:pPr>
        <w:pStyle w:val="Heading1"/>
        <w:spacing w:after="150" w:before="300"/>
      </w:pPr>
      <w:r>
        <w:rPr>
          <w:b/>
          <w:bCs/>
          <w:color w:val="1F3864"/>
        </w:rPr>
        <w:t xml:space="preserve">1. Organisation &amp; Découpage Fonctionnel</w:t>
      </w:r>
    </w:p>
    <w:p>
      <w:pPr>
        <w:spacing w:after="150"/>
      </w:pPr>
      <w:r>
        <w:rPr>
          <w:i w:val="false"/>
          <w:iCs w:val="false"/>
          <w:sz w:val="20"/>
          <w:szCs w:val="20"/>
        </w:rPr>
        <w:t xml:space="preserve">Le découpage fonctionnel est la première étape structurante de toute démarche GMAO. Il permet d'identifier chaque composant de la machine, de lui attribuer un code unique et de préparer le référentiel d'interventions.</w:t>
      </w:r>
    </w:p>
    <w:p>
      <w:pPr>
        <w:pStyle w:val="Heading2"/>
        <w:spacing w:after="100" w:before="200"/>
      </w:pPr>
      <w:r>
        <w:rPr>
          <w:b/>
          <w:bCs/>
          <w:color w:val="2E5395"/>
        </w:rPr>
        <w:t xml:space="preserve">1.1 Légende des codes</w:t>
      </w:r>
    </w:p>
    <w:p>
      <w:pPr>
        <w:spacing w:after="150"/>
      </w:pPr>
      <w:r>
        <w:rPr>
          <w:i/>
          <w:iCs/>
          <w:sz w:val="20"/>
          <w:szCs w:val="20"/>
        </w:rPr>
        <w:t xml:space="preserve">Découpage fonctionnel en 6 parties codifiées. Chaque composant est référencé sous la forme CODE-XX (ex. AXE-01 pour la vis à billes X, BRO-01 pour la broche, ELC-01 pour la carte CPU).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00"/>
      </w:tblGrid>
      <w:tr>
        <w:trPr>
          <w:tblHeader/>
        </w:trPr>
        <w:tc>
          <w:tcPr>
            <w:tcW w:type="pct" w:w="12%"/>
            <w:shd w:fill="1F3864" w:val="clear"/>
            <w:vAlign w:val="center"/>
          </w:tcPr>
          <w:p>
            <w:pPr>
              <w:jc w:val="center"/>
            </w:pPr>
            <w:r>
              <w:rPr>
                <w:b/>
                <w:bCs/>
                <w:color w:val="FFFFFF"/>
                <w:sz w:val="20"/>
                <w:szCs w:val="20"/>
              </w:rPr>
              <w:t xml:space="preserve">Code</w:t>
            </w:r>
          </w:p>
        </w:tc>
        <w:tc>
          <w:tcPr>
            <w:tcW w:type="pct" w:w="28%"/>
            <w:shd w:fill="1F3864" w:val="clear"/>
            <w:vAlign w:val="center"/>
          </w:tcPr>
          <w:p>
            <w:pPr>
              <w:jc w:val="center"/>
            </w:pPr>
            <w:r>
              <w:rPr>
                <w:b/>
                <w:bCs/>
                <w:color w:val="FFFFFF"/>
                <w:sz w:val="20"/>
                <w:szCs w:val="20"/>
              </w:rPr>
              <w:t xml:space="preserve">Partie / Sous-système</w:t>
            </w:r>
          </w:p>
        </w:tc>
        <w:tc>
          <w:tcPr>
            <w:tcW w:type="pct" w:w="60%"/>
            <w:shd w:fill="1F3864" w:val="clear"/>
            <w:vAlign w:val="center"/>
          </w:tcPr>
          <w:p>
            <w:pPr>
              <w:jc w:val="center"/>
            </w:pPr>
            <w:r>
              <w:rPr>
                <w:b/>
                <w:bCs/>
                <w:color w:val="FFFFFF"/>
                <w:sz w:val="20"/>
                <w:szCs w:val="20"/>
              </w:rPr>
              <w:t xml:space="preserve">Description</w:t>
            </w:r>
          </w:p>
        </w:tc>
      </w:tr>
      <w:tr>
        <w:tc>
          <w:tcPr>
            <w:tcW w:type="pct" w:w="12%"/>
            <w:shd w:fill="D9E2F3" w:val="clear"/>
            <w:vAlign w:val="center"/>
          </w:tcPr>
          <w:p>
            <w:r>
              <w:rPr>
                <w:b/>
                <w:bCs/>
                <w:sz w:val="19"/>
                <w:szCs w:val="19"/>
              </w:rPr>
              <w:t xml:space="preserve">MEC</w:t>
            </w:r>
          </w:p>
        </w:tc>
        <w:tc>
          <w:tcPr>
            <w:tcW w:type="pct" w:w="28%"/>
            <w:shd w:fill="D9E2F3" w:val="clear"/>
            <w:vAlign w:val="center"/>
          </w:tcPr>
          <w:p>
            <w:r>
              <w:rPr>
                <w:b w:val="false"/>
                <w:bCs w:val="false"/>
                <w:sz w:val="19"/>
                <w:szCs w:val="19"/>
              </w:rPr>
              <w:t xml:space="preserve">Structure mécanique</w:t>
            </w:r>
          </w:p>
        </w:tc>
        <w:tc>
          <w:tcPr>
            <w:tcW w:type="pct" w:w="60%"/>
            <w:shd w:fill="D9E2F3" w:val="clear"/>
            <w:vAlign w:val="center"/>
          </w:tcPr>
          <w:p>
            <w:r>
              <w:rPr>
                <w:b w:val="false"/>
                <w:bCs w:val="false"/>
                <w:sz w:val="19"/>
                <w:szCs w:val="19"/>
              </w:rPr>
              <w:t xml:space="preserve">Châssis porteur, table de travail, capot de protection, plateau martyr, fixations</w:t>
            </w:r>
          </w:p>
        </w:tc>
      </w:tr>
      <w:tr>
        <w:tc>
          <w:tcPr>
            <w:tcW w:type="pct" w:w="12%"/>
            <w:vAlign w:val="center"/>
          </w:tcPr>
          <w:p>
            <w:r>
              <w:rPr>
                <w:b/>
                <w:bCs/>
                <w:sz w:val="19"/>
                <w:szCs w:val="19"/>
              </w:rPr>
              <w:t xml:space="preserve">AXE</w:t>
            </w:r>
          </w:p>
        </w:tc>
        <w:tc>
          <w:tcPr>
            <w:tcW w:type="pct" w:w="28%"/>
            <w:vAlign w:val="center"/>
          </w:tcPr>
          <w:p>
            <w:r>
              <w:rPr>
                <w:b w:val="false"/>
                <w:bCs w:val="false"/>
                <w:sz w:val="19"/>
                <w:szCs w:val="19"/>
              </w:rPr>
              <w:t xml:space="preserve">Axes et guidage</w:t>
            </w:r>
          </w:p>
        </w:tc>
        <w:tc>
          <w:tcPr>
            <w:tcW w:type="pct" w:w="60%"/>
            <w:vAlign w:val="center"/>
          </w:tcPr>
          <w:p>
            <w:r>
              <w:rPr>
                <w:b w:val="false"/>
                <w:bCs w:val="false"/>
                <w:sz w:val="19"/>
                <w:szCs w:val="19"/>
              </w:rPr>
              <w:t xml:space="preserve">Vis à billes X/Y/Z, guidages linéaires, fins de course, palpeur hauteur Z</w:t>
            </w:r>
          </w:p>
        </w:tc>
      </w:tr>
      <w:tr>
        <w:tc>
          <w:tcPr>
            <w:tcW w:type="pct" w:w="12%"/>
            <w:shd w:fill="D9E2F3" w:val="clear"/>
            <w:vAlign w:val="center"/>
          </w:tcPr>
          <w:p>
            <w:r>
              <w:rPr>
                <w:b/>
                <w:bCs/>
                <w:sz w:val="19"/>
                <w:szCs w:val="19"/>
              </w:rPr>
              <w:t xml:space="preserve">MOT</w:t>
            </w:r>
          </w:p>
        </w:tc>
        <w:tc>
          <w:tcPr>
            <w:tcW w:type="pct" w:w="28%"/>
            <w:shd w:fill="D9E2F3" w:val="clear"/>
            <w:vAlign w:val="center"/>
          </w:tcPr>
          <w:p>
            <w:r>
              <w:rPr>
                <w:b w:val="false"/>
                <w:bCs w:val="false"/>
                <w:sz w:val="19"/>
                <w:szCs w:val="19"/>
              </w:rPr>
              <w:t xml:space="preserve">Motorisation</w:t>
            </w:r>
          </w:p>
        </w:tc>
        <w:tc>
          <w:tcPr>
            <w:tcW w:type="pct" w:w="60%"/>
            <w:shd w:fill="D9E2F3" w:val="clear"/>
            <w:vAlign w:val="center"/>
          </w:tcPr>
          <w:p>
            <w:r>
              <w:rPr>
                <w:b w:val="false"/>
                <w:bCs w:val="false"/>
                <w:sz w:val="19"/>
                <w:szCs w:val="19"/>
              </w:rPr>
              <w:t xml:space="preserve">Moteurs pas à pas 3 axes (400 pas/tr), microstepping 1/2 à 1/16</w:t>
            </w:r>
          </w:p>
        </w:tc>
      </w:tr>
      <w:tr>
        <w:tc>
          <w:tcPr>
            <w:tcW w:type="pct" w:w="12%"/>
            <w:vAlign w:val="center"/>
          </w:tcPr>
          <w:p>
            <w:r>
              <w:rPr>
                <w:b/>
                <w:bCs/>
                <w:sz w:val="19"/>
                <w:szCs w:val="19"/>
              </w:rPr>
              <w:t xml:space="preserve">BRO</w:t>
            </w:r>
          </w:p>
        </w:tc>
        <w:tc>
          <w:tcPr>
            <w:tcW w:type="pct" w:w="28%"/>
            <w:vAlign w:val="center"/>
          </w:tcPr>
          <w:p>
            <w:r>
              <w:rPr>
                <w:b w:val="false"/>
                <w:bCs w:val="false"/>
                <w:sz w:val="19"/>
                <w:szCs w:val="19"/>
              </w:rPr>
              <w:t xml:space="preserve">Broche et outillage</w:t>
            </w:r>
          </w:p>
        </w:tc>
        <w:tc>
          <w:tcPr>
            <w:tcW w:type="pct" w:w="60%"/>
            <w:vAlign w:val="center"/>
          </w:tcPr>
          <w:p>
            <w:r>
              <w:rPr>
                <w:b w:val="false"/>
                <w:bCs w:val="false"/>
                <w:sz w:val="19"/>
                <w:szCs w:val="19"/>
              </w:rPr>
              <w:t xml:space="preserve">Broche 900 W / 220 V, mandrin, outils de coupe, palpeur outil</w:t>
            </w:r>
          </w:p>
        </w:tc>
      </w:tr>
      <w:tr>
        <w:tc>
          <w:tcPr>
            <w:tcW w:type="pct" w:w="12%"/>
            <w:shd w:fill="D9E2F3" w:val="clear"/>
            <w:vAlign w:val="center"/>
          </w:tcPr>
          <w:p>
            <w:r>
              <w:rPr>
                <w:b/>
                <w:bCs/>
                <w:sz w:val="19"/>
                <w:szCs w:val="19"/>
              </w:rPr>
              <w:t xml:space="preserve">ELC</w:t>
            </w:r>
          </w:p>
        </w:tc>
        <w:tc>
          <w:tcPr>
            <w:tcW w:type="pct" w:w="28%"/>
            <w:shd w:fill="D9E2F3" w:val="clear"/>
            <w:vAlign w:val="center"/>
          </w:tcPr>
          <w:p>
            <w:r>
              <w:rPr>
                <w:b w:val="false"/>
                <w:bCs w:val="false"/>
                <w:sz w:val="19"/>
                <w:szCs w:val="19"/>
              </w:rPr>
              <w:t xml:space="preserve">Électronique / Commande</w:t>
            </w:r>
          </w:p>
        </w:tc>
        <w:tc>
          <w:tcPr>
            <w:tcW w:type="pct" w:w="60%"/>
            <w:shd w:fill="D9E2F3" w:val="clear"/>
            <w:vAlign w:val="center"/>
          </w:tcPr>
          <w:p>
            <w:r>
              <w:rPr>
                <w:b w:val="false"/>
                <w:bCs w:val="false"/>
                <w:sz w:val="19"/>
                <w:szCs w:val="19"/>
              </w:rPr>
              <w:t xml:space="preserve">Carte CPU CNC, carte relais, alimentation, liaison RS232, arrêt d'urgence</w:t>
            </w:r>
          </w:p>
        </w:tc>
      </w:tr>
      <w:tr>
        <w:tc>
          <w:tcPr>
            <w:tcW w:type="pct" w:w="12%"/>
            <w:vAlign w:val="center"/>
          </w:tcPr>
          <w:p>
            <w:r>
              <w:rPr>
                <w:b/>
                <w:bCs/>
                <w:sz w:val="19"/>
                <w:szCs w:val="19"/>
              </w:rPr>
              <w:t xml:space="preserve">LOG</w:t>
            </w:r>
          </w:p>
        </w:tc>
        <w:tc>
          <w:tcPr>
            <w:tcW w:type="pct" w:w="28%"/>
            <w:vAlign w:val="center"/>
          </w:tcPr>
          <w:p>
            <w:r>
              <w:rPr>
                <w:b w:val="false"/>
                <w:bCs w:val="false"/>
                <w:sz w:val="19"/>
                <w:szCs w:val="19"/>
              </w:rPr>
              <w:t xml:space="preserve">Logiciel GALAAD 3</w:t>
            </w:r>
          </w:p>
        </w:tc>
        <w:tc>
          <w:tcPr>
            <w:tcW w:type="pct" w:w="60%"/>
            <w:vAlign w:val="center"/>
          </w:tcPr>
          <w:p>
            <w:r>
              <w:rPr>
                <w:b w:val="false"/>
                <w:bCs w:val="false"/>
                <w:sz w:val="19"/>
                <w:szCs w:val="19"/>
              </w:rPr>
              <w:t xml:space="preserve">Pilotage CNC, FAO intégrée, import formats CAO, mises à jour, sauvegardes</w:t>
            </w:r>
          </w:p>
        </w:tc>
      </w:tr>
    </w:tbl>
    <w:p>
      <w:pPr>
        <w:spacing w:before="300"/>
      </w:pPr>
    </w:p>
    <w:p>
      <w:pPr>
        <w:pStyle w:val="Heading2"/>
        <w:spacing w:after="100" w:before="200"/>
      </w:pPr>
      <w:r>
        <w:rPr>
          <w:b/>
          <w:bCs/>
          <w:color w:val="2E5395"/>
        </w:rPr>
        <w:t xml:space="preserve">1.2 Tableau des composants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400"/>
      </w:tblGrid>
      <w:tr>
        <w:trPr>
          <w:tblHeader/>
        </w:trPr>
        <w:tc>
          <w:tcPr>
            <w:tcW w:type="pct" w:w="12%"/>
            <w:shd w:fill="1F3864" w:val="clear"/>
            <w:vAlign w:val="center"/>
          </w:tcPr>
          <w:p>
            <w:pPr>
              <w:jc w:val="center"/>
            </w:pPr>
            <w:r>
              <w:rPr>
                <w:b/>
                <w:bCs/>
                <w:color w:val="FFFFFF"/>
                <w:sz w:val="20"/>
                <w:szCs w:val="20"/>
              </w:rPr>
              <w:t xml:space="preserve">Code</w:t>
            </w:r>
          </w:p>
        </w:tc>
        <w:tc>
          <w:tcPr>
            <w:tcW w:type="pct" w:w="33%"/>
            <w:shd w:fill="1F3864" w:val="clear"/>
            <w:vAlign w:val="center"/>
          </w:tcPr>
          <w:p>
            <w:pPr>
              <w:jc w:val="center"/>
            </w:pPr>
            <w:r>
              <w:rPr>
                <w:b/>
                <w:bCs/>
                <w:color w:val="FFFFFF"/>
                <w:sz w:val="20"/>
                <w:szCs w:val="20"/>
              </w:rPr>
              <w:t xml:space="preserve">Composant</w:t>
            </w:r>
          </w:p>
        </w:tc>
        <w:tc>
          <w:tcPr>
            <w:tcW w:type="pct" w:w="55%"/>
            <w:shd w:fill="1F3864" w:val="clear"/>
            <w:vAlign w:val="center"/>
          </w:tcPr>
          <w:p>
            <w:pPr>
              <w:jc w:val="center"/>
            </w:pPr>
            <w:r>
              <w:rPr>
                <w:b/>
                <w:bCs/>
                <w:color w:val="FFFFFF"/>
                <w:sz w:val="20"/>
                <w:szCs w:val="20"/>
              </w:rPr>
              <w:t xml:space="preserve">Description / Rôle</w:t>
            </w:r>
          </w:p>
        </w:tc>
      </w:tr>
      <w:tr>
        <w:tc>
          <w:tcPr>
            <w:tcW w:type="pct" w:w="12%"/>
            <w:shd w:fill="D9E2F3" w:val="clear"/>
            <w:vAlign w:val="center"/>
          </w:tcPr>
          <w:p>
            <w:r>
              <w:rPr>
                <w:b/>
                <w:bCs/>
                <w:sz w:val="19"/>
                <w:szCs w:val="19"/>
              </w:rPr>
              <w:t xml:space="preserve">MEC-01</w:t>
            </w:r>
          </w:p>
        </w:tc>
        <w:tc>
          <w:tcPr>
            <w:tcW w:type="pct" w:w="33%"/>
            <w:shd w:fill="D9E2F3" w:val="clear"/>
            <w:vAlign w:val="center"/>
          </w:tcPr>
          <w:p>
            <w:r>
              <w:rPr>
                <w:b w:val="false"/>
                <w:bCs w:val="false"/>
                <w:sz w:val="19"/>
                <w:szCs w:val="19"/>
              </w:rPr>
              <w:t xml:space="preserve">Bâti / Châssis porteur</w:t>
            </w:r>
          </w:p>
        </w:tc>
        <w:tc>
          <w:tcPr>
            <w:tcW w:type="pct" w:w="55%"/>
            <w:shd w:fill="D9E2F3" w:val="clear"/>
            <w:vAlign w:val="center"/>
          </w:tcPr>
          <w:p>
            <w:r>
              <w:rPr>
                <w:b w:val="false"/>
                <w:bCs w:val="false"/>
                <w:sz w:val="19"/>
                <w:szCs w:val="19"/>
              </w:rPr>
              <w:t xml:space="preserve">Structure porteuse principale de la machine</w:t>
            </w:r>
          </w:p>
        </w:tc>
      </w:tr>
      <w:tr>
        <w:tc>
          <w:tcPr>
            <w:tcW w:type="pct" w:w="12%"/>
            <w:vAlign w:val="center"/>
          </w:tcPr>
          <w:p>
            <w:r>
              <w:rPr>
                <w:b/>
                <w:bCs/>
                <w:sz w:val="19"/>
                <w:szCs w:val="19"/>
              </w:rPr>
              <w:t xml:space="preserve">MEC-02</w:t>
            </w:r>
          </w:p>
        </w:tc>
        <w:tc>
          <w:tcPr>
            <w:tcW w:type="pct" w:w="33%"/>
            <w:vAlign w:val="center"/>
          </w:tcPr>
          <w:p>
            <w:r>
              <w:rPr>
                <w:b w:val="false"/>
                <w:bCs w:val="false"/>
                <w:sz w:val="19"/>
                <w:szCs w:val="19"/>
              </w:rPr>
              <w:t xml:space="preserve">Table acier XC48</w:t>
            </w:r>
          </w:p>
        </w:tc>
        <w:tc>
          <w:tcPr>
            <w:tcW w:type="pct" w:w="55%"/>
            <w:vAlign w:val="center"/>
          </w:tcPr>
          <w:p>
            <w:r>
              <w:rPr>
                <w:b w:val="false"/>
                <w:bCs w:val="false"/>
                <w:sz w:val="19"/>
                <w:szCs w:val="19"/>
              </w:rPr>
              <w:t xml:space="preserve">Surface de travail rectifiée - planéité 0,05 mm - taraudage M6</w:t>
            </w:r>
          </w:p>
        </w:tc>
      </w:tr>
      <w:tr>
        <w:tc>
          <w:tcPr>
            <w:tcW w:type="pct" w:w="12%"/>
            <w:shd w:fill="D9E2F3" w:val="clear"/>
            <w:vAlign w:val="center"/>
          </w:tcPr>
          <w:p>
            <w:r>
              <w:rPr>
                <w:b/>
                <w:bCs/>
                <w:sz w:val="19"/>
                <w:szCs w:val="19"/>
              </w:rPr>
              <w:t xml:space="preserve">MEC-03</w:t>
            </w:r>
          </w:p>
        </w:tc>
        <w:tc>
          <w:tcPr>
            <w:tcW w:type="pct" w:w="33%"/>
            <w:shd w:fill="D9E2F3" w:val="clear"/>
            <w:vAlign w:val="center"/>
          </w:tcPr>
          <w:p>
            <w:r>
              <w:rPr>
                <w:b w:val="false"/>
                <w:bCs w:val="false"/>
                <w:sz w:val="19"/>
                <w:szCs w:val="19"/>
              </w:rPr>
              <w:t xml:space="preserve">Plateau martyr PVC</w:t>
            </w:r>
          </w:p>
        </w:tc>
        <w:tc>
          <w:tcPr>
            <w:tcW w:type="pct" w:w="55%"/>
            <w:shd w:fill="D9E2F3" w:val="clear"/>
            <w:vAlign w:val="center"/>
          </w:tcPr>
          <w:p>
            <w:r>
              <w:rPr>
                <w:b w:val="false"/>
                <w:bCs w:val="false"/>
                <w:sz w:val="19"/>
                <w:szCs w:val="19"/>
              </w:rPr>
              <w:t xml:space="preserve">Contre-plaque sacrificielle 10 mm - 215×315 mm - protège la table</w:t>
            </w:r>
          </w:p>
        </w:tc>
      </w:tr>
      <w:tr>
        <w:tc>
          <w:tcPr>
            <w:tcW w:type="pct" w:w="12%"/>
            <w:vAlign w:val="center"/>
          </w:tcPr>
          <w:p>
            <w:r>
              <w:rPr>
                <w:b/>
                <w:bCs/>
                <w:sz w:val="19"/>
                <w:szCs w:val="19"/>
              </w:rPr>
              <w:t xml:space="preserve">MEC-04</w:t>
            </w:r>
          </w:p>
        </w:tc>
        <w:tc>
          <w:tcPr>
            <w:tcW w:type="pct" w:w="33%"/>
            <w:vAlign w:val="center"/>
          </w:tcPr>
          <w:p>
            <w:r>
              <w:rPr>
                <w:b w:val="false"/>
                <w:bCs w:val="false"/>
                <w:sz w:val="19"/>
                <w:szCs w:val="19"/>
              </w:rPr>
              <w:t xml:space="preserve">Capot de protection</w:t>
            </w:r>
          </w:p>
        </w:tc>
        <w:tc>
          <w:tcPr>
            <w:tcW w:type="pct" w:w="55%"/>
            <w:vAlign w:val="center"/>
          </w:tcPr>
          <w:p>
            <w:r>
              <w:rPr>
                <w:b w:val="false"/>
                <w:bCs w:val="false"/>
                <w:sz w:val="19"/>
                <w:szCs w:val="19"/>
              </w:rPr>
              <w:t xml:space="preserve">Aluminium + polycarbonate - coupe-circuit intégré à l'ouverture</w:t>
            </w:r>
          </w:p>
        </w:tc>
      </w:tr>
      <w:tr>
        <w:tc>
          <w:tcPr>
            <w:tcW w:type="pct" w:w="12%"/>
            <w:shd w:fill="D9E2F3" w:val="clear"/>
            <w:vAlign w:val="center"/>
          </w:tcPr>
          <w:p>
            <w:r>
              <w:rPr>
                <w:b/>
                <w:bCs/>
                <w:sz w:val="19"/>
                <w:szCs w:val="19"/>
              </w:rPr>
              <w:t xml:space="preserve">MEC-05</w:t>
            </w:r>
          </w:p>
        </w:tc>
        <w:tc>
          <w:tcPr>
            <w:tcW w:type="pct" w:w="33%"/>
            <w:shd w:fill="D9E2F3" w:val="clear"/>
            <w:vAlign w:val="center"/>
          </w:tcPr>
          <w:p>
            <w:r>
              <w:rPr>
                <w:b w:val="false"/>
                <w:bCs w:val="false"/>
                <w:sz w:val="19"/>
                <w:szCs w:val="19"/>
              </w:rPr>
              <w:t xml:space="preserve">Bridage / fixations pièces</w:t>
            </w:r>
          </w:p>
        </w:tc>
        <w:tc>
          <w:tcPr>
            <w:tcW w:type="pct" w:w="55%"/>
            <w:shd w:fill="D9E2F3" w:val="clear"/>
            <w:vAlign w:val="center"/>
          </w:tcPr>
          <w:p>
            <w:r>
              <w:rPr>
                <w:b w:val="false"/>
                <w:bCs w:val="false"/>
                <w:sz w:val="19"/>
                <w:szCs w:val="19"/>
              </w:rPr>
              <w:t xml:space="preserve">Brides, vis et dispositifs de serrage des pièces à usiner</w:t>
            </w:r>
          </w:p>
        </w:tc>
      </w:tr>
      <w:tr>
        <w:tc>
          <w:tcPr>
            <w:tcW w:type="pct" w:w="12%"/>
            <w:vAlign w:val="center"/>
          </w:tcPr>
          <w:p>
            <w:r>
              <w:rPr>
                <w:b/>
                <w:bCs/>
                <w:sz w:val="19"/>
                <w:szCs w:val="19"/>
              </w:rPr>
              <w:t xml:space="preserve">MEC-06</w:t>
            </w:r>
          </w:p>
        </w:tc>
        <w:tc>
          <w:tcPr>
            <w:tcW w:type="pct" w:w="33%"/>
            <w:vAlign w:val="center"/>
          </w:tcPr>
          <w:p>
            <w:r>
              <w:rPr>
                <w:b w:val="false"/>
                <w:bCs w:val="false"/>
                <w:sz w:val="19"/>
                <w:szCs w:val="19"/>
              </w:rPr>
              <w:t xml:space="preserve">Visserie générale</w:t>
            </w:r>
          </w:p>
        </w:tc>
        <w:tc>
          <w:tcPr>
            <w:tcW w:type="pct" w:w="55%"/>
            <w:vAlign w:val="center"/>
          </w:tcPr>
          <w:p>
            <w:r>
              <w:rPr>
                <w:b w:val="false"/>
                <w:bCs w:val="false"/>
                <w:sz w:val="19"/>
                <w:szCs w:val="19"/>
              </w:rPr>
              <w:t xml:space="preserve">Ensemble boulons, écrous et inserts de structure</w:t>
            </w:r>
          </w:p>
        </w:tc>
      </w:tr>
      <w:tr>
        <w:tc>
          <w:tcPr>
            <w:tcW w:type="pct" w:w="12%"/>
            <w:shd w:fill="D9E2F3" w:val="clear"/>
            <w:vAlign w:val="center"/>
          </w:tcPr>
          <w:p>
            <w:r>
              <w:rPr>
                <w:b/>
                <w:bCs/>
                <w:sz w:val="19"/>
                <w:szCs w:val="19"/>
              </w:rPr>
              <w:t xml:space="preserve">AXE-01</w:t>
            </w:r>
          </w:p>
        </w:tc>
        <w:tc>
          <w:tcPr>
            <w:tcW w:type="pct" w:w="33%"/>
            <w:shd w:fill="D9E2F3" w:val="clear"/>
            <w:vAlign w:val="center"/>
          </w:tcPr>
          <w:p>
            <w:r>
              <w:rPr>
                <w:b w:val="false"/>
                <w:bCs w:val="false"/>
                <w:sz w:val="19"/>
                <w:szCs w:val="19"/>
              </w:rPr>
              <w:t xml:space="preserve">Vis à billes axe X</w:t>
            </w:r>
          </w:p>
        </w:tc>
        <w:tc>
          <w:tcPr>
            <w:tcW w:type="pct" w:w="55%"/>
            <w:shd w:fill="D9E2F3" w:val="clear"/>
            <w:vAlign w:val="center"/>
          </w:tcPr>
          <w:p>
            <w:r>
              <w:rPr>
                <w:b w:val="false"/>
                <w:bCs w:val="false"/>
                <w:sz w:val="19"/>
                <w:szCs w:val="19"/>
              </w:rPr>
              <w:t xml:space="preserve">Transmission mouvement X - pas 4 mm - course 215 mm - réf TCVX</w:t>
            </w:r>
          </w:p>
        </w:tc>
      </w:tr>
      <w:tr>
        <w:tc>
          <w:tcPr>
            <w:tcW w:type="pct" w:w="12%"/>
            <w:vAlign w:val="center"/>
          </w:tcPr>
          <w:p>
            <w:r>
              <w:rPr>
                <w:b/>
                <w:bCs/>
                <w:sz w:val="19"/>
                <w:szCs w:val="19"/>
              </w:rPr>
              <w:t xml:space="preserve">AXE-02</w:t>
            </w:r>
          </w:p>
        </w:tc>
        <w:tc>
          <w:tcPr>
            <w:tcW w:type="pct" w:w="33%"/>
            <w:vAlign w:val="center"/>
          </w:tcPr>
          <w:p>
            <w:r>
              <w:rPr>
                <w:b w:val="false"/>
                <w:bCs w:val="false"/>
                <w:sz w:val="19"/>
                <w:szCs w:val="19"/>
              </w:rPr>
              <w:t xml:space="preserve">Vis à billes axe Y</w:t>
            </w:r>
          </w:p>
        </w:tc>
        <w:tc>
          <w:tcPr>
            <w:tcW w:type="pct" w:w="55%"/>
            <w:vAlign w:val="center"/>
          </w:tcPr>
          <w:p>
            <w:r>
              <w:rPr>
                <w:b w:val="false"/>
                <w:bCs w:val="false"/>
                <w:sz w:val="19"/>
                <w:szCs w:val="19"/>
              </w:rPr>
              <w:t xml:space="preserve">Transmission mouvement Y - pas 4 mm - course 360 mm - réf TCVY</w:t>
            </w:r>
          </w:p>
        </w:tc>
      </w:tr>
      <w:tr>
        <w:tc>
          <w:tcPr>
            <w:tcW w:type="pct" w:w="12%"/>
            <w:shd w:fill="D9E2F3" w:val="clear"/>
            <w:vAlign w:val="center"/>
          </w:tcPr>
          <w:p>
            <w:r>
              <w:rPr>
                <w:b/>
                <w:bCs/>
                <w:sz w:val="19"/>
                <w:szCs w:val="19"/>
              </w:rPr>
              <w:t xml:space="preserve">AXE-03</w:t>
            </w:r>
          </w:p>
        </w:tc>
        <w:tc>
          <w:tcPr>
            <w:tcW w:type="pct" w:w="33%"/>
            <w:shd w:fill="D9E2F3" w:val="clear"/>
            <w:vAlign w:val="center"/>
          </w:tcPr>
          <w:p>
            <w:r>
              <w:rPr>
                <w:b w:val="false"/>
                <w:bCs w:val="false"/>
                <w:sz w:val="19"/>
                <w:szCs w:val="19"/>
              </w:rPr>
              <w:t xml:space="preserve">Vis à billes axe Z</w:t>
            </w:r>
          </w:p>
        </w:tc>
        <w:tc>
          <w:tcPr>
            <w:tcW w:type="pct" w:w="55%"/>
            <w:shd w:fill="D9E2F3" w:val="clear"/>
            <w:vAlign w:val="center"/>
          </w:tcPr>
          <w:p>
            <w:r>
              <w:rPr>
                <w:b w:val="false"/>
                <w:bCs w:val="false"/>
                <w:sz w:val="19"/>
                <w:szCs w:val="19"/>
              </w:rPr>
              <w:t xml:space="preserve">Transmission mouvement Z - pas 4 mm - course 90 mm - réf TCVZ</w:t>
            </w:r>
          </w:p>
        </w:tc>
      </w:tr>
      <w:tr>
        <w:tc>
          <w:tcPr>
            <w:tcW w:type="pct" w:w="12%"/>
            <w:vAlign w:val="center"/>
          </w:tcPr>
          <w:p>
            <w:r>
              <w:rPr>
                <w:b/>
                <w:bCs/>
                <w:sz w:val="19"/>
                <w:szCs w:val="19"/>
              </w:rPr>
              <w:t xml:space="preserve">AXE-04</w:t>
            </w:r>
          </w:p>
        </w:tc>
        <w:tc>
          <w:tcPr>
            <w:tcW w:type="pct" w:w="33%"/>
            <w:vAlign w:val="center"/>
          </w:tcPr>
          <w:p>
            <w:r>
              <w:rPr>
                <w:b w:val="false"/>
                <w:bCs w:val="false"/>
                <w:sz w:val="19"/>
                <w:szCs w:val="19"/>
              </w:rPr>
              <w:t xml:space="preserve">Guidages linéaires</w:t>
            </w:r>
          </w:p>
        </w:tc>
        <w:tc>
          <w:tcPr>
            <w:tcW w:type="pct" w:w="55%"/>
            <w:vAlign w:val="center"/>
          </w:tcPr>
          <w:p>
            <w:r>
              <w:rPr>
                <w:b w:val="false"/>
                <w:bCs w:val="false"/>
                <w:sz w:val="19"/>
                <w:szCs w:val="19"/>
              </w:rPr>
              <w:t xml:space="preserve">Rails et douilles de guidage sans jeu des chariots X/Y/Z</w:t>
            </w:r>
          </w:p>
        </w:tc>
      </w:tr>
      <w:tr>
        <w:tc>
          <w:tcPr>
            <w:tcW w:type="pct" w:w="12%"/>
            <w:shd w:fill="D9E2F3" w:val="clear"/>
            <w:vAlign w:val="center"/>
          </w:tcPr>
          <w:p>
            <w:r>
              <w:rPr>
                <w:b/>
                <w:bCs/>
                <w:sz w:val="19"/>
                <w:szCs w:val="19"/>
              </w:rPr>
              <w:t xml:space="preserve">AXE-05</w:t>
            </w:r>
          </w:p>
        </w:tc>
        <w:tc>
          <w:tcPr>
            <w:tcW w:type="pct" w:w="33%"/>
            <w:shd w:fill="D9E2F3" w:val="clear"/>
            <w:vAlign w:val="center"/>
          </w:tcPr>
          <w:p>
            <w:r>
              <w:rPr>
                <w:b w:val="false"/>
                <w:bCs w:val="false"/>
                <w:sz w:val="19"/>
                <w:szCs w:val="19"/>
              </w:rPr>
              <w:t xml:space="preserve">Fins de course X/Y/Z</w:t>
            </w:r>
          </w:p>
        </w:tc>
        <w:tc>
          <w:tcPr>
            <w:tcW w:type="pct" w:w="55%"/>
            <w:shd w:fill="D9E2F3" w:val="clear"/>
            <w:vAlign w:val="center"/>
          </w:tcPr>
          <w:p>
            <w:r>
              <w:rPr>
                <w:b w:val="false"/>
                <w:bCs w:val="false"/>
                <w:sz w:val="19"/>
                <w:szCs w:val="19"/>
              </w:rPr>
              <w:t xml:space="preserve">Switches électromécaniques de référencement et sécurité - réf TCSW</w:t>
            </w:r>
          </w:p>
        </w:tc>
      </w:tr>
      <w:tr>
        <w:tc>
          <w:tcPr>
            <w:tcW w:type="pct" w:w="12%"/>
            <w:vAlign w:val="center"/>
          </w:tcPr>
          <w:p>
            <w:r>
              <w:rPr>
                <w:b/>
                <w:bCs/>
                <w:sz w:val="19"/>
                <w:szCs w:val="19"/>
              </w:rPr>
              <w:t xml:space="preserve">AXE-06</w:t>
            </w:r>
          </w:p>
        </w:tc>
        <w:tc>
          <w:tcPr>
            <w:tcW w:type="pct" w:w="33%"/>
            <w:vAlign w:val="center"/>
          </w:tcPr>
          <w:p>
            <w:r>
              <w:rPr>
                <w:b w:val="false"/>
                <w:bCs w:val="false"/>
                <w:sz w:val="19"/>
                <w:szCs w:val="19"/>
              </w:rPr>
              <w:t xml:space="preserve">Palpeur axe Z (de série)</w:t>
            </w:r>
          </w:p>
        </w:tc>
        <w:tc>
          <w:tcPr>
            <w:tcW w:type="pct" w:w="55%"/>
            <w:vAlign w:val="center"/>
          </w:tcPr>
          <w:p>
            <w:r>
              <w:rPr>
                <w:b w:val="false"/>
                <w:bCs w:val="false"/>
                <w:sz w:val="19"/>
                <w:szCs w:val="19"/>
              </w:rPr>
              <w:t xml:space="preserve">Mesure automatique de la hauteur outil - référencement Z</w:t>
            </w:r>
          </w:p>
        </w:tc>
      </w:tr>
      <w:tr>
        <w:tc>
          <w:tcPr>
            <w:tcW w:type="pct" w:w="12%"/>
            <w:shd w:fill="D9E2F3" w:val="clear"/>
            <w:vAlign w:val="center"/>
          </w:tcPr>
          <w:p>
            <w:r>
              <w:rPr>
                <w:b/>
                <w:bCs/>
                <w:sz w:val="19"/>
                <w:szCs w:val="19"/>
              </w:rPr>
              <w:t xml:space="preserve">MOT-01</w:t>
            </w:r>
          </w:p>
        </w:tc>
        <w:tc>
          <w:tcPr>
            <w:tcW w:type="pct" w:w="33%"/>
            <w:shd w:fill="D9E2F3" w:val="clear"/>
            <w:vAlign w:val="center"/>
          </w:tcPr>
          <w:p>
            <w:r>
              <w:rPr>
                <w:b w:val="false"/>
                <w:bCs w:val="false"/>
                <w:sz w:val="19"/>
                <w:szCs w:val="19"/>
              </w:rPr>
              <w:t xml:space="preserve">Moteur pas à pas axe X</w:t>
            </w:r>
          </w:p>
        </w:tc>
        <w:tc>
          <w:tcPr>
            <w:tcW w:type="pct" w:w="55%"/>
            <w:shd w:fill="D9E2F3" w:val="clear"/>
            <w:vAlign w:val="center"/>
          </w:tcPr>
          <w:p>
            <w:r>
              <w:rPr>
                <w:b w:val="false"/>
                <w:bCs w:val="false"/>
                <w:sz w:val="19"/>
                <w:szCs w:val="19"/>
              </w:rPr>
              <w:t xml:space="preserve">400 pas/tour - microstepping 1/2 à 1/16 - pilotage déplacement X</w:t>
            </w:r>
          </w:p>
        </w:tc>
      </w:tr>
      <w:tr>
        <w:tc>
          <w:tcPr>
            <w:tcW w:type="pct" w:w="12%"/>
            <w:vAlign w:val="center"/>
          </w:tcPr>
          <w:p>
            <w:r>
              <w:rPr>
                <w:b/>
                <w:bCs/>
                <w:sz w:val="19"/>
                <w:szCs w:val="19"/>
              </w:rPr>
              <w:t xml:space="preserve">MOT-02</w:t>
            </w:r>
          </w:p>
        </w:tc>
        <w:tc>
          <w:tcPr>
            <w:tcW w:type="pct" w:w="33%"/>
            <w:vAlign w:val="center"/>
          </w:tcPr>
          <w:p>
            <w:r>
              <w:rPr>
                <w:b w:val="false"/>
                <w:bCs w:val="false"/>
                <w:sz w:val="19"/>
                <w:szCs w:val="19"/>
              </w:rPr>
              <w:t xml:space="preserve">Moteur pas à pas axe Y</w:t>
            </w:r>
          </w:p>
        </w:tc>
        <w:tc>
          <w:tcPr>
            <w:tcW w:type="pct" w:w="55%"/>
            <w:vAlign w:val="center"/>
          </w:tcPr>
          <w:p>
            <w:r>
              <w:rPr>
                <w:b w:val="false"/>
                <w:bCs w:val="false"/>
                <w:sz w:val="19"/>
                <w:szCs w:val="19"/>
              </w:rPr>
              <w:t xml:space="preserve">400 pas/tour - identique axe X - pilotage déplacement Y</w:t>
            </w:r>
          </w:p>
        </w:tc>
      </w:tr>
      <w:tr>
        <w:tc>
          <w:tcPr>
            <w:tcW w:type="pct" w:w="12%"/>
            <w:shd w:fill="D9E2F3" w:val="clear"/>
            <w:vAlign w:val="center"/>
          </w:tcPr>
          <w:p>
            <w:r>
              <w:rPr>
                <w:b/>
                <w:bCs/>
                <w:sz w:val="19"/>
                <w:szCs w:val="19"/>
              </w:rPr>
              <w:t xml:space="preserve">MOT-03</w:t>
            </w:r>
          </w:p>
        </w:tc>
        <w:tc>
          <w:tcPr>
            <w:tcW w:type="pct" w:w="33%"/>
            <w:shd w:fill="D9E2F3" w:val="clear"/>
            <w:vAlign w:val="center"/>
          </w:tcPr>
          <w:p>
            <w:r>
              <w:rPr>
                <w:b w:val="false"/>
                <w:bCs w:val="false"/>
                <w:sz w:val="19"/>
                <w:szCs w:val="19"/>
              </w:rPr>
              <w:t xml:space="preserve">Moteur pas à pas axe Z</w:t>
            </w:r>
          </w:p>
        </w:tc>
        <w:tc>
          <w:tcPr>
            <w:tcW w:type="pct" w:w="55%"/>
            <w:shd w:fill="D9E2F3" w:val="clear"/>
            <w:vAlign w:val="center"/>
          </w:tcPr>
          <w:p>
            <w:r>
              <w:rPr>
                <w:b w:val="false"/>
                <w:bCs w:val="false"/>
                <w:sz w:val="19"/>
                <w:szCs w:val="19"/>
              </w:rPr>
              <w:t xml:space="preserve">400 pas/tour - axe vertical broche - réf TCMT</w:t>
            </w:r>
          </w:p>
        </w:tc>
      </w:tr>
      <w:tr>
        <w:tc>
          <w:tcPr>
            <w:tcW w:type="pct" w:w="12%"/>
            <w:vAlign w:val="center"/>
          </w:tcPr>
          <w:p>
            <w:r>
              <w:rPr>
                <w:b/>
                <w:bCs/>
                <w:sz w:val="19"/>
                <w:szCs w:val="19"/>
              </w:rPr>
              <w:t xml:space="preserve">MOT-04</w:t>
            </w:r>
          </w:p>
        </w:tc>
        <w:tc>
          <w:tcPr>
            <w:tcW w:type="pct" w:w="33%"/>
            <w:vAlign w:val="center"/>
          </w:tcPr>
          <w:p>
            <w:r>
              <w:rPr>
                <w:b w:val="false"/>
                <w:bCs w:val="false"/>
                <w:sz w:val="19"/>
                <w:szCs w:val="19"/>
              </w:rPr>
              <w:t xml:space="preserve">Accouplements / coupleurs</w:t>
            </w:r>
          </w:p>
        </w:tc>
        <w:tc>
          <w:tcPr>
            <w:tcW w:type="pct" w:w="55%"/>
            <w:vAlign w:val="center"/>
          </w:tcPr>
          <w:p>
            <w:r>
              <w:rPr>
                <w:b w:val="false"/>
                <w:bCs w:val="false"/>
                <w:sz w:val="19"/>
                <w:szCs w:val="19"/>
              </w:rPr>
              <w:t xml:space="preserve">Liaison rigide moteur / vis à billes - transmission sans jeu</w:t>
            </w:r>
          </w:p>
        </w:tc>
      </w:tr>
      <w:tr>
        <w:tc>
          <w:tcPr>
            <w:tcW w:type="pct" w:w="12%"/>
            <w:shd w:fill="D9E2F3" w:val="clear"/>
            <w:vAlign w:val="center"/>
          </w:tcPr>
          <w:p>
            <w:r>
              <w:rPr>
                <w:b/>
                <w:bCs/>
                <w:sz w:val="19"/>
                <w:szCs w:val="19"/>
              </w:rPr>
              <w:t xml:space="preserve">MOT-05</w:t>
            </w:r>
          </w:p>
        </w:tc>
        <w:tc>
          <w:tcPr>
            <w:tcW w:type="pct" w:w="33%"/>
            <w:shd w:fill="D9E2F3" w:val="clear"/>
            <w:vAlign w:val="center"/>
          </w:tcPr>
          <w:p>
            <w:r>
              <w:rPr>
                <w:b w:val="false"/>
                <w:bCs w:val="false"/>
                <w:sz w:val="19"/>
                <w:szCs w:val="19"/>
              </w:rPr>
              <w:t xml:space="preserve">Câbles moteurs</w:t>
            </w:r>
          </w:p>
        </w:tc>
        <w:tc>
          <w:tcPr>
            <w:tcW w:type="pct" w:w="55%"/>
            <w:shd w:fill="D9E2F3" w:val="clear"/>
            <w:vAlign w:val="center"/>
          </w:tcPr>
          <w:p>
            <w:r>
              <w:rPr>
                <w:b w:val="false"/>
                <w:bCs w:val="false"/>
                <w:sz w:val="19"/>
                <w:szCs w:val="19"/>
              </w:rPr>
              <w:t xml:space="preserve">Liaisons électriques blindées entre drivers et moteurs</w:t>
            </w:r>
          </w:p>
        </w:tc>
      </w:tr>
      <w:tr>
        <w:tc>
          <w:tcPr>
            <w:tcW w:type="pct" w:w="12%"/>
            <w:vAlign w:val="center"/>
          </w:tcPr>
          <w:p>
            <w:r>
              <w:rPr>
                <w:b/>
                <w:bCs/>
                <w:sz w:val="19"/>
                <w:szCs w:val="19"/>
              </w:rPr>
              <w:t xml:space="preserve">BRO-01</w:t>
            </w:r>
          </w:p>
        </w:tc>
        <w:tc>
          <w:tcPr>
            <w:tcW w:type="pct" w:w="33%"/>
            <w:vAlign w:val="center"/>
          </w:tcPr>
          <w:p>
            <w:r>
              <w:rPr>
                <w:b w:val="false"/>
                <w:bCs w:val="false"/>
                <w:sz w:val="19"/>
                <w:szCs w:val="19"/>
              </w:rPr>
              <w:t xml:space="preserve">Broche 900 W / 220 V</w:t>
            </w:r>
          </w:p>
        </w:tc>
        <w:tc>
          <w:tcPr>
            <w:tcW w:type="pct" w:w="55%"/>
            <w:vAlign w:val="center"/>
          </w:tcPr>
          <w:p>
            <w:r>
              <w:rPr>
                <w:b w:val="false"/>
                <w:bCs w:val="false"/>
                <w:sz w:val="19"/>
                <w:szCs w:val="19"/>
              </w:rPr>
              <w:t xml:space="preserve">Broche principale à vitesse variable - 8 000 à 26 000 tr/min - réf EP106</w:t>
            </w:r>
          </w:p>
        </w:tc>
      </w:tr>
      <w:tr>
        <w:tc>
          <w:tcPr>
            <w:tcW w:type="pct" w:w="12%"/>
            <w:shd w:fill="D9E2F3" w:val="clear"/>
            <w:vAlign w:val="center"/>
          </w:tcPr>
          <w:p>
            <w:r>
              <w:rPr>
                <w:b/>
                <w:bCs/>
                <w:sz w:val="19"/>
                <w:szCs w:val="19"/>
              </w:rPr>
              <w:t xml:space="preserve">BRO-02</w:t>
            </w:r>
          </w:p>
        </w:tc>
        <w:tc>
          <w:tcPr>
            <w:tcW w:type="pct" w:w="33%"/>
            <w:shd w:fill="D9E2F3" w:val="clear"/>
            <w:vAlign w:val="center"/>
          </w:tcPr>
          <w:p>
            <w:r>
              <w:rPr>
                <w:b w:val="false"/>
                <w:bCs w:val="false"/>
                <w:sz w:val="19"/>
                <w:szCs w:val="19"/>
              </w:rPr>
              <w:t xml:space="preserve">Mandrin / Pince Ø3,17 mm</w:t>
            </w:r>
          </w:p>
        </w:tc>
        <w:tc>
          <w:tcPr>
            <w:tcW w:type="pct" w:w="55%"/>
            <w:shd w:fill="D9E2F3" w:val="clear"/>
            <w:vAlign w:val="center"/>
          </w:tcPr>
          <w:p>
            <w:r>
              <w:rPr>
                <w:b w:val="false"/>
                <w:bCs w:val="false"/>
                <w:sz w:val="19"/>
                <w:szCs w:val="19"/>
              </w:rPr>
              <w:t xml:space="preserve">Serrage et centrage outils - capacité 3,17 à 8 mm - réf EP1061</w:t>
            </w:r>
          </w:p>
        </w:tc>
      </w:tr>
      <w:tr>
        <w:tc>
          <w:tcPr>
            <w:tcW w:type="pct" w:w="12%"/>
            <w:vAlign w:val="center"/>
          </w:tcPr>
          <w:p>
            <w:r>
              <w:rPr>
                <w:b/>
                <w:bCs/>
                <w:sz w:val="19"/>
                <w:szCs w:val="19"/>
              </w:rPr>
              <w:t xml:space="preserve">BRO-03</w:t>
            </w:r>
          </w:p>
        </w:tc>
        <w:tc>
          <w:tcPr>
            <w:tcW w:type="pct" w:w="33%"/>
            <w:vAlign w:val="center"/>
          </w:tcPr>
          <w:p>
            <w:r>
              <w:rPr>
                <w:b w:val="false"/>
                <w:bCs w:val="false"/>
                <w:sz w:val="19"/>
                <w:szCs w:val="19"/>
              </w:rPr>
              <w:t xml:space="preserve">Outils de coupe (fraises/forets)</w:t>
            </w:r>
          </w:p>
        </w:tc>
        <w:tc>
          <w:tcPr>
            <w:tcW w:type="pct" w:w="55%"/>
            <w:vAlign w:val="center"/>
          </w:tcPr>
          <w:p>
            <w:r>
              <w:rPr>
                <w:b w:val="false"/>
                <w:bCs w:val="false"/>
                <w:sz w:val="19"/>
                <w:szCs w:val="19"/>
              </w:rPr>
              <w:t xml:space="preserve">Consommables d'usinage - Ø min selon matière</w:t>
            </w:r>
          </w:p>
        </w:tc>
      </w:tr>
      <w:tr>
        <w:tc>
          <w:tcPr>
            <w:tcW w:type="pct" w:w="12%"/>
            <w:shd w:fill="D9E2F3" w:val="clear"/>
            <w:vAlign w:val="center"/>
          </w:tcPr>
          <w:p>
            <w:r>
              <w:rPr>
                <w:b/>
                <w:bCs/>
                <w:sz w:val="19"/>
                <w:szCs w:val="19"/>
              </w:rPr>
              <w:t xml:space="preserve">ELC-01</w:t>
            </w:r>
          </w:p>
        </w:tc>
        <w:tc>
          <w:tcPr>
            <w:tcW w:type="pct" w:w="33%"/>
            <w:shd w:fill="D9E2F3" w:val="clear"/>
            <w:vAlign w:val="center"/>
          </w:tcPr>
          <w:p>
            <w:r>
              <w:rPr>
                <w:b w:val="false"/>
                <w:bCs w:val="false"/>
                <w:sz w:val="19"/>
                <w:szCs w:val="19"/>
              </w:rPr>
              <w:t xml:space="preserve">Carte contrôleur 3 axes</w:t>
            </w:r>
          </w:p>
        </w:tc>
        <w:tc>
          <w:tcPr>
            <w:tcW w:type="pct" w:w="55%"/>
            <w:shd w:fill="D9E2F3" w:val="clear"/>
            <w:vAlign w:val="center"/>
          </w:tcPr>
          <w:p>
            <w:r>
              <w:rPr>
                <w:b w:val="false"/>
                <w:bCs w:val="false"/>
                <w:sz w:val="19"/>
                <w:szCs w:val="19"/>
              </w:rPr>
              <w:t xml:space="preserve">Carte CPU CNC - pilotage des 3 moteurs pas à pas - réf TCCPU</w:t>
            </w:r>
          </w:p>
        </w:tc>
      </w:tr>
      <w:tr>
        <w:tc>
          <w:tcPr>
            <w:tcW w:type="pct" w:w="12%"/>
            <w:vAlign w:val="center"/>
          </w:tcPr>
          <w:p>
            <w:r>
              <w:rPr>
                <w:b/>
                <w:bCs/>
                <w:sz w:val="19"/>
                <w:szCs w:val="19"/>
              </w:rPr>
              <w:t xml:space="preserve">ELC-02</w:t>
            </w:r>
          </w:p>
        </w:tc>
        <w:tc>
          <w:tcPr>
            <w:tcW w:type="pct" w:w="33%"/>
            <w:vAlign w:val="center"/>
          </w:tcPr>
          <w:p>
            <w:r>
              <w:rPr>
                <w:b w:val="false"/>
                <w:bCs w:val="false"/>
                <w:sz w:val="19"/>
                <w:szCs w:val="19"/>
              </w:rPr>
              <w:t xml:space="preserve">Carte relais broche</w:t>
            </w:r>
          </w:p>
        </w:tc>
        <w:tc>
          <w:tcPr>
            <w:tcW w:type="pct" w:w="55%"/>
            <w:vAlign w:val="center"/>
          </w:tcPr>
          <w:p>
            <w:r>
              <w:rPr>
                <w:b w:val="false"/>
                <w:bCs w:val="false"/>
                <w:sz w:val="19"/>
                <w:szCs w:val="19"/>
              </w:rPr>
              <w:t xml:space="preserve">Gestion commandes ON/OFF broche et accessoires - réf TCRT</w:t>
            </w:r>
          </w:p>
        </w:tc>
      </w:tr>
      <w:tr>
        <w:tc>
          <w:tcPr>
            <w:tcW w:type="pct" w:w="12%"/>
            <w:shd w:fill="D9E2F3" w:val="clear"/>
            <w:vAlign w:val="center"/>
          </w:tcPr>
          <w:p>
            <w:r>
              <w:rPr>
                <w:b/>
                <w:bCs/>
                <w:sz w:val="19"/>
                <w:szCs w:val="19"/>
              </w:rPr>
              <w:t xml:space="preserve">ELC-03</w:t>
            </w:r>
          </w:p>
        </w:tc>
        <w:tc>
          <w:tcPr>
            <w:tcW w:type="pct" w:w="33%"/>
            <w:shd w:fill="D9E2F3" w:val="clear"/>
            <w:vAlign w:val="center"/>
          </w:tcPr>
          <w:p>
            <w:r>
              <w:rPr>
                <w:b w:val="false"/>
                <w:bCs w:val="false"/>
                <w:sz w:val="19"/>
                <w:szCs w:val="19"/>
              </w:rPr>
              <w:t xml:space="preserve">Transformateur &amp; alimentation</w:t>
            </w:r>
          </w:p>
        </w:tc>
        <w:tc>
          <w:tcPr>
            <w:tcW w:type="pct" w:w="55%"/>
            <w:shd w:fill="D9E2F3" w:val="clear"/>
            <w:vAlign w:val="center"/>
          </w:tcPr>
          <w:p>
            <w:r>
              <w:rPr>
                <w:b w:val="false"/>
                <w:bCs w:val="false"/>
                <w:sz w:val="19"/>
                <w:szCs w:val="19"/>
              </w:rPr>
              <w:t xml:space="preserve">220 V / 18 V AC - pont redresseur - condensateur 22 000 µF</w:t>
            </w:r>
          </w:p>
        </w:tc>
      </w:tr>
      <w:tr>
        <w:tc>
          <w:tcPr>
            <w:tcW w:type="pct" w:w="12%"/>
            <w:vAlign w:val="center"/>
          </w:tcPr>
          <w:p>
            <w:r>
              <w:rPr>
                <w:b/>
                <w:bCs/>
                <w:sz w:val="19"/>
                <w:szCs w:val="19"/>
              </w:rPr>
              <w:t xml:space="preserve">ELC-04</w:t>
            </w:r>
          </w:p>
        </w:tc>
        <w:tc>
          <w:tcPr>
            <w:tcW w:type="pct" w:w="33%"/>
            <w:vAlign w:val="center"/>
          </w:tcPr>
          <w:p>
            <w:r>
              <w:rPr>
                <w:b w:val="false"/>
                <w:bCs w:val="false"/>
                <w:sz w:val="19"/>
                <w:szCs w:val="19"/>
              </w:rPr>
              <w:t xml:space="preserve">Liaison RS232 / PC</w:t>
            </w:r>
          </w:p>
        </w:tc>
        <w:tc>
          <w:tcPr>
            <w:tcW w:type="pct" w:w="55%"/>
            <w:vAlign w:val="center"/>
          </w:tcPr>
          <w:p>
            <w:r>
              <w:rPr>
                <w:b w:val="false"/>
                <w:bCs w:val="false"/>
                <w:sz w:val="19"/>
                <w:szCs w:val="19"/>
              </w:rPr>
              <w:t xml:space="preserve">Connecteur DB9 - port COM1 - 9 600 bauds - pilotage GALAAD</w:t>
            </w:r>
          </w:p>
        </w:tc>
      </w:tr>
      <w:tr>
        <w:tc>
          <w:tcPr>
            <w:tcW w:type="pct" w:w="12%"/>
            <w:shd w:fill="D9E2F3" w:val="clear"/>
            <w:vAlign w:val="center"/>
          </w:tcPr>
          <w:p>
            <w:r>
              <w:rPr>
                <w:b/>
                <w:bCs/>
                <w:sz w:val="19"/>
                <w:szCs w:val="19"/>
              </w:rPr>
              <w:t xml:space="preserve">ELC-05</w:t>
            </w:r>
          </w:p>
        </w:tc>
        <w:tc>
          <w:tcPr>
            <w:tcW w:type="pct" w:w="33%"/>
            <w:shd w:fill="D9E2F3" w:val="clear"/>
            <w:vAlign w:val="center"/>
          </w:tcPr>
          <w:p>
            <w:r>
              <w:rPr>
                <w:b w:val="false"/>
                <w:bCs w:val="false"/>
                <w:sz w:val="19"/>
                <w:szCs w:val="19"/>
              </w:rPr>
              <w:t xml:space="preserve">Arrêt d'urgence</w:t>
            </w:r>
          </w:p>
        </w:tc>
        <w:tc>
          <w:tcPr>
            <w:tcW w:type="pct" w:w="55%"/>
            <w:shd w:fill="D9E2F3" w:val="clear"/>
            <w:vAlign w:val="center"/>
          </w:tcPr>
          <w:p>
            <w:r>
              <w:rPr>
                <w:b w:val="false"/>
                <w:bCs w:val="false"/>
                <w:sz w:val="19"/>
                <w:szCs w:val="19"/>
              </w:rPr>
              <w:t xml:space="preserve">Bouton coup-de-poing rouge face avant - coupure totale immédiate</w:t>
            </w:r>
          </w:p>
        </w:tc>
      </w:tr>
      <w:tr>
        <w:tc>
          <w:tcPr>
            <w:tcW w:type="pct" w:w="12%"/>
            <w:vAlign w:val="center"/>
          </w:tcPr>
          <w:p>
            <w:r>
              <w:rPr>
                <w:b/>
                <w:bCs/>
                <w:sz w:val="19"/>
                <w:szCs w:val="19"/>
              </w:rPr>
              <w:t xml:space="preserve">LOG-01</w:t>
            </w:r>
          </w:p>
        </w:tc>
        <w:tc>
          <w:tcPr>
            <w:tcW w:type="pct" w:w="33%"/>
            <w:vAlign w:val="center"/>
          </w:tcPr>
          <w:p>
            <w:r>
              <w:rPr>
                <w:b w:val="false"/>
                <w:bCs w:val="false"/>
                <w:sz w:val="19"/>
                <w:szCs w:val="19"/>
              </w:rPr>
              <w:t xml:space="preserve">Logiciel GALAAD 3 (licence)</w:t>
            </w:r>
          </w:p>
        </w:tc>
        <w:tc>
          <w:tcPr>
            <w:tcW w:type="pct" w:w="55%"/>
            <w:vAlign w:val="center"/>
          </w:tcPr>
          <w:p>
            <w:r>
              <w:rPr>
                <w:b w:val="false"/>
                <w:bCs w:val="false"/>
                <w:sz w:val="19"/>
                <w:szCs w:val="19"/>
              </w:rPr>
              <w:t xml:space="preserve">Licence pilotage CNC - import HPGL / ISO / EXCELLON / GERBER / DXF</w:t>
            </w:r>
          </w:p>
        </w:tc>
      </w:tr>
      <w:tr>
        <w:tc>
          <w:tcPr>
            <w:tcW w:type="pct" w:w="12%"/>
            <w:shd w:fill="D9E2F3" w:val="clear"/>
            <w:vAlign w:val="center"/>
          </w:tcPr>
          <w:p>
            <w:r>
              <w:rPr>
                <w:b/>
                <w:bCs/>
                <w:sz w:val="19"/>
                <w:szCs w:val="19"/>
              </w:rPr>
              <w:t xml:space="preserve">LOG-02</w:t>
            </w:r>
          </w:p>
        </w:tc>
        <w:tc>
          <w:tcPr>
            <w:tcW w:type="pct" w:w="33%"/>
            <w:shd w:fill="D9E2F3" w:val="clear"/>
            <w:vAlign w:val="center"/>
          </w:tcPr>
          <w:p>
            <w:r>
              <w:rPr>
                <w:b w:val="false"/>
                <w:bCs w:val="false"/>
                <w:sz w:val="19"/>
                <w:szCs w:val="19"/>
              </w:rPr>
              <w:t xml:space="preserve">Paramétrage &amp; sauvegardes</w:t>
            </w:r>
          </w:p>
        </w:tc>
        <w:tc>
          <w:tcPr>
            <w:tcW w:type="pct" w:w="55%"/>
            <w:shd w:fill="D9E2F3" w:val="clear"/>
            <w:vAlign w:val="center"/>
          </w:tcPr>
          <w:p>
            <w:r>
              <w:rPr>
                <w:b w:val="false"/>
                <w:bCs w:val="false"/>
                <w:sz w:val="19"/>
                <w:szCs w:val="19"/>
              </w:rPr>
              <w:t xml:space="preserve">Export et archivage des paramètres machine et profils GALAAD</w:t>
            </w:r>
          </w:p>
        </w:tc>
      </w:tr>
      <w:tr>
        <w:tc>
          <w:tcPr>
            <w:tcW w:type="pct" w:w="12%"/>
            <w:vAlign w:val="center"/>
          </w:tcPr>
          <w:p>
            <w:r>
              <w:rPr>
                <w:b/>
                <w:bCs/>
                <w:sz w:val="19"/>
                <w:szCs w:val="19"/>
              </w:rPr>
              <w:t xml:space="preserve">LOG-03</w:t>
            </w:r>
          </w:p>
        </w:tc>
        <w:tc>
          <w:tcPr>
            <w:tcW w:type="pct" w:w="33%"/>
            <w:vAlign w:val="center"/>
          </w:tcPr>
          <w:p>
            <w:r>
              <w:rPr>
                <w:b w:val="false"/>
                <w:bCs w:val="false"/>
                <w:sz w:val="19"/>
                <w:szCs w:val="19"/>
              </w:rPr>
              <w:t xml:space="preserve">Mises à jour GALAAD</w:t>
            </w:r>
          </w:p>
        </w:tc>
        <w:tc>
          <w:tcPr>
            <w:tcW w:type="pct" w:w="55%"/>
            <w:vAlign w:val="center"/>
          </w:tcPr>
          <w:p>
            <w:r>
              <w:rPr>
                <w:b w:val="false"/>
                <w:bCs w:val="false"/>
                <w:sz w:val="19"/>
                <w:szCs w:val="19"/>
              </w:rPr>
              <w:t xml:space="preserve">Mises à jour disponibles sur www.galaad.net</w:t>
            </w:r>
          </w:p>
        </w:tc>
      </w:tr>
    </w:tbl>
    <w:p>
      <w:pPr>
        <w:spacing w:after="0" w:before="300"/>
      </w:pPr>
      <w:r>
        <w:rPr>
          <w:i/>
          <w:iCs/>
          <w:color w:val="777777"/>
          <w:sz w:val="16"/>
          <w:szCs w:val="16"/>
        </w:rPr>
        <w:t xml:space="preserve">Document extrait du Dossier de Gestion de Maintenance - Fablab Universiapolis Polytechnique - Etape 4 du plan projet GMAO (Analyse documentaire).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2026-07-16T11:44:31.160Z</dcterms:created>
  <dcterms:modified xsi:type="dcterms:W3CDTF">2026-07-16T11:44:31.183Z</dcterms:modified>
</cp:coreProperties>
</file>

<file path=docProps/custom.xml><?xml version="1.0" encoding="utf-8"?>
<Properties xmlns="http://schemas.openxmlformats.org/officeDocument/2006/custom-properties" xmlns:vt="http://schemas.openxmlformats.org/officeDocument/2006/docPropsVTypes"/>
</file>