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  <w:jc w:val="left"/>
      </w:pPr>
      <w:r>
        <w:rPr>
          <w:rFonts w:ascii="Segoe UI" w:hAnsi="Segoe UI"/>
          <w:b/>
          <w:color w:val="1E3A8A"/>
          <w:sz w:val="48"/>
        </w:rPr>
        <w:t>Software Requirements Specification (SRS)</w:t>
      </w:r>
    </w:p>
    <w:p>
      <w:pPr>
        <w:spacing w:before="0" w:after="240"/>
        <w:jc w:val="left"/>
      </w:pPr>
      <w:r>
        <w:rPr>
          <w:rFonts w:ascii="Segoe UI" w:hAnsi="Segoe UI"/>
          <w:color w:val="2563EB"/>
          <w:sz w:val="26"/>
        </w:rPr>
        <w:t>Multi-Tenant University ERP &amp; White-Label Web Platform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288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7056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Specification Details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Project Name</w:t>
            </w:r>
          </w:p>
        </w:tc>
        <w:tc>
          <w:tcPr>
            <w:tcW w:type="dxa" w:w="70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UniFlow Enterprise ERP (Next-Gen Multi-Tenant Higher-Education Web Platform)</w:t>
            </w:r>
          </w:p>
        </w:tc>
      </w:tr>
      <w:tr>
        <w:tc>
          <w:tcPr>
            <w:tcW w:type="dxa" w:w="28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Document Version</w:t>
            </w:r>
          </w:p>
        </w:tc>
        <w:tc>
          <w:tcPr>
            <w:tcW w:type="dxa" w:w="70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2.0.0 (Comprehensive Cloud-Native Architecture)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Standard Compliance</w:t>
            </w:r>
          </w:p>
        </w:tc>
        <w:tc>
          <w:tcPr>
            <w:tcW w:type="dxa" w:w="70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IEEE Std 830-1998 / ISO/IEC/IEEE 29148 Software Requirements Standards</w:t>
            </w:r>
          </w:p>
        </w:tc>
      </w:tr>
      <w:tr>
        <w:tc>
          <w:tcPr>
            <w:tcW w:type="dxa" w:w="28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Target Audience</w:t>
            </w:r>
          </w:p>
        </w:tc>
        <w:tc>
          <w:tcPr>
            <w:tcW w:type="dxa" w:w="70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University Executives, System Architects, Full-Stack Engineering, QA, and Product Management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Architecture Model</w:t>
            </w:r>
          </w:p>
        </w:tc>
        <w:tc>
          <w:tcPr>
            <w:tcW w:type="dxa" w:w="70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Cloud-Native SaaS, Multi-Tenant Partitioning, Bilingual (Arabic RTL / English LTR)</w:t>
            </w:r>
          </w:p>
        </w:tc>
      </w:tr>
      <w:tr>
        <w:tc>
          <w:tcPr>
            <w:tcW w:type="dxa" w:w="28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Security &amp; Data Model</w:t>
            </w:r>
          </w:p>
        </w:tc>
        <w:tc>
          <w:tcPr>
            <w:tcW w:type="dxa" w:w="70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PostgreSQL RLS, Double-Entry Atomic Ledger, Immutable Hash-Chained Audit Trail, Argon2id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1E3A8A"/>
          <w:sz w:val="32"/>
        </w:rPr>
        <w:t>1. Introduction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5"/>
        </w:rPr>
        <w:t>1.1 Purpose &amp; Executive Overview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1F2937"/>
          <w:sz w:val="20"/>
        </w:rPr>
        <w:t>This document establishes the authoritative Software Requirements Specification (SRS) for UniFlow Enterprise ERP, a state-of-the-art, multi-tenant, cloud-native web platform designed for higher education institutions (Universities, Colleges, and Academies). The system delivers an integrated enterprise suite unifying dynamic white-label public portals, academic management, digital admissions, student lifecycle management, and a rigorous, double-entry financial accounting engine tailored to institutional operations.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1F2937"/>
          <w:sz w:val="20"/>
        </w:rPr>
        <w:t>The platform is engineered around four core foundational pillars: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1. White-Label Public Portal: </w:t>
      </w:r>
      <w:r>
        <w:rPr>
          <w:rFonts w:ascii="Segoe UI" w:hAnsi="Segoe UI"/>
          <w:color w:val="1F2937"/>
          <w:sz w:val="19"/>
        </w:rPr>
        <w:t>Dynamic CMS allowing each university to host custom-branded landing pages, faculty explorers, and online admissions portals.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2. Academic &amp; Student Lifecycle: </w:t>
      </w:r>
      <w:r>
        <w:rPr>
          <w:rFonts w:ascii="Segoe UI" w:hAnsi="Segoe UI"/>
          <w:color w:val="1F2937"/>
          <w:sz w:val="19"/>
        </w:rPr>
        <w:t>Hierarchical structures (Faculties, Degrees, Programs, Batches), student profiles with document checklists, and semester registration engines.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3. Comprehensive Financial Engine: </w:t>
      </w:r>
      <w:r>
        <w:rPr>
          <w:rFonts w:ascii="Segoe UI" w:hAnsi="Segoe UI"/>
          <w:color w:val="1F2937"/>
          <w:sz w:val="19"/>
        </w:rPr>
        <w:t>5-tier Chart of Accounts, maker-checker voucher approval workflows, fee catalogs, deferred revenue recognition, cashiering, cheques, budgeting, fixed assets, and financial statements.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4. Modern Bilingual Design System: </w:t>
      </w:r>
      <w:r>
        <w:rPr>
          <w:rFonts w:ascii="Segoe UI" w:hAnsi="Segoe UI"/>
          <w:color w:val="1F2937"/>
          <w:sz w:val="19"/>
        </w:rPr>
        <w:t>Built with shadcn UI, Tailwind CSS, TypeScript, and React/Next.js, supporting instantaneous zero-reload switching between Arabic (RTL) and English (LTR).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5"/>
        </w:rPr>
        <w:t>1.2 System Scope &amp; Functional Decomposition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1F2937"/>
          <w:sz w:val="20"/>
        </w:rPr>
        <w:t>The UniFlow platform provides an end-to-end operational envelope divided into five primary functional modules and an advanced academic records roadmap: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• Module Cluster A — Public Web &amp; CMS: </w:t>
      </w:r>
      <w:r>
        <w:rPr>
          <w:rFonts w:ascii="Segoe UI" w:hAnsi="Segoe UI"/>
          <w:color w:val="1F2937"/>
          <w:sz w:val="19"/>
        </w:rPr>
        <w:t>Dynamic theme customization, hero banners, public faculty catalogs, online admissions portal, news and academic calendars.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• Module Cluster B — Academic &amp; Student Operations: </w:t>
      </w:r>
      <w:r>
        <w:rPr>
          <w:rFonts w:ascii="Segoe UI" w:hAnsi="Segoe UI"/>
          <w:color w:val="1F2937"/>
          <w:sz w:val="19"/>
        </w:rPr>
        <w:t>Academic hierarchy setup, multi-step student intake, biometric/photo capture, medical examinations, and semester registration engines.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• Module Cluster C — University Financial Engine: </w:t>
      </w:r>
      <w:r>
        <w:rPr>
          <w:rFonts w:ascii="Segoe UI" w:hAnsi="Segoe UI"/>
          <w:color w:val="1F2937"/>
          <w:sz w:val="19"/>
        </w:rPr>
        <w:t>5-tier COA, multi-line journal vouchers, fiscal period controls, multi-channel cashiering, cheque clearing pipeline, budgeting, fixed assets depreciation, and procurement with encumbrance.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• Module Cluster D — Multi-Tenancy &amp; Platform Administration: </w:t>
      </w:r>
      <w:r>
        <w:rPr>
          <w:rFonts w:ascii="Segoe UI" w:hAnsi="Segoe UI"/>
          <w:color w:val="1F2937"/>
          <w:sz w:val="19"/>
        </w:rPr>
        <w:t>Database-enforced PostgreSQL Row-Level Security (RLS), Role-Based Access Control (RBAC), tamper-evident hash-chained audit trails, and multi-currency exchange rate management.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• Module Cluster E — Academic Records &amp; Grading: </w:t>
      </w:r>
      <w:r>
        <w:rPr>
          <w:rFonts w:ascii="Segoe UI" w:hAnsi="Segoe UI"/>
          <w:color w:val="1F2937"/>
          <w:sz w:val="19"/>
        </w:rPr>
        <w:t>Course catalogs, prerequisite trees, timetable scheduling, attendance tracking with 75% rule enforcement, GPA calculation, exam invigilation, and degree audits.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5"/>
        </w:rPr>
        <w:t>1.3 Definitions, Acronyms, and Abbreviations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259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Term / Acronym</w:t>
            </w:r>
          </w:p>
        </w:tc>
        <w:tc>
          <w:tcPr>
            <w:tcW w:type="dxa" w:w="7344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Definition &amp; Context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SaaS</w:t>
            </w:r>
          </w:p>
        </w:tc>
        <w:tc>
          <w:tcPr>
            <w:tcW w:type="dxa" w:w="734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Software as a Service — Multi-tenant cloud-hosted institutional platform.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COA</w:t>
            </w:r>
          </w:p>
        </w:tc>
        <w:tc>
          <w:tcPr>
            <w:tcW w:type="dxa" w:w="734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Chart of Accounts (دليل الحسابات) — Standardized 5-tier hierarchical accounting tree.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GL</w:t>
            </w:r>
          </w:p>
        </w:tc>
        <w:tc>
          <w:tcPr>
            <w:tcW w:type="dxa" w:w="734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General Ledger (دفتر الأستاذ العام) — Central repository of all financial transactions.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JV</w:t>
            </w:r>
          </w:p>
        </w:tc>
        <w:tc>
          <w:tcPr>
            <w:tcW w:type="dxa" w:w="734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Journal Voucher (قيد اليومية) — Multi-line double-entry financial voucher.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RV / PV</w:t>
            </w:r>
          </w:p>
        </w:tc>
        <w:tc>
          <w:tcPr>
            <w:tcW w:type="dxa" w:w="734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Receipt Voucher (سند قبض) / Payment Voucher (سند صرف) — Inward/outward monetary documents.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AR / AP</w:t>
            </w:r>
          </w:p>
        </w:tc>
        <w:tc>
          <w:tcPr>
            <w:tcW w:type="dxa" w:w="734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Accounts Receivable (حسابات المدينين / الطلاب) / Accounts Payable (حسابات الموردين).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RBAC</w:t>
            </w:r>
          </w:p>
        </w:tc>
        <w:tc>
          <w:tcPr>
            <w:tcW w:type="dxa" w:w="734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Role-Based Access Control — Granular permission assignment per role and institutional department.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RTL / LTR</w:t>
            </w:r>
          </w:p>
        </w:tc>
        <w:tc>
          <w:tcPr>
            <w:tcW w:type="dxa" w:w="734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Right-To-Left (Arabic) / Left-To-Right (English) layout rendering.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Maker-Checker</w:t>
            </w:r>
          </w:p>
        </w:tc>
        <w:tc>
          <w:tcPr>
            <w:tcW w:type="dxa" w:w="734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Separation of duties workflow requiring voucher creation and approval by distinct authorized actors.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NBV</w:t>
            </w:r>
          </w:p>
        </w:tc>
        <w:tc>
          <w:tcPr>
            <w:tcW w:type="dxa" w:w="734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Net Book Value (القيمة الدفترية للأصل) — Historical cost minus accumulated depreciation.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Encumbrance</w:t>
            </w:r>
          </w:p>
        </w:tc>
        <w:tc>
          <w:tcPr>
            <w:tcW w:type="dxa" w:w="734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Commitment against a budget line created upon Purchase Order approval prior to disbursement.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Functional Currency</w:t>
            </w:r>
          </w:p>
        </w:tc>
        <w:tc>
          <w:tcPr>
            <w:tcW w:type="dxa" w:w="734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The institutional base currency in which financial ledgers and statutory statements are maintained.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Fiscal Period</w:t>
            </w:r>
          </w:p>
        </w:tc>
        <w:tc>
          <w:tcPr>
            <w:tcW w:type="dxa" w:w="734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Accounting calendar periods (monthly/quarterly) subject to strict open/closed posting locks.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Idempotency Key</w:t>
            </w:r>
          </w:p>
        </w:tc>
        <w:tc>
          <w:tcPr>
            <w:tcW w:type="dxa" w:w="734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Unique client-generated token ensuring that duplicate API submissions create exactly one record.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تفقيط (Tafqeet)</w:t>
            </w:r>
          </w:p>
        </w:tc>
        <w:tc>
          <w:tcPr>
            <w:tcW w:type="dxa" w:w="734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Algorithmic translation of monetary numbers into formal written Arabic words on official receipts.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1E3A8A"/>
          <w:sz w:val="32"/>
        </w:rPr>
        <w:t>2. Overall Description &amp; System Architecture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5"/>
        </w:rPr>
        <w:t>2.1 Product Perspective &amp; Web Architecture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1F2937"/>
          <w:sz w:val="20"/>
        </w:rPr>
        <w:t>UniFlow is structured as a cloud-native, modern multi-tier web application designed for high concurrency, zero-trust security, and horizontal scalability. The architecture is partitioned into distinct operational tiers: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1. Presentation Layer (Frontend): </w:t>
      </w:r>
      <w:r>
        <w:rPr>
          <w:rFonts w:ascii="Segoe UI" w:hAnsi="Segoe UI"/>
          <w:color w:val="1F2937"/>
          <w:sz w:val="19"/>
        </w:rPr>
        <w:t>Next.js / React with TypeScript, Tailwind CSS, and shadcn UI component library. Fully responsive across desktop, tablet, and mobile cashier POS devices.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2. Application &amp; API Layer: </w:t>
      </w:r>
      <w:r>
        <w:rPr>
          <w:rFonts w:ascii="Segoe UI" w:hAnsi="Segoe UI"/>
          <w:color w:val="1F2937"/>
          <w:sz w:val="19"/>
        </w:rPr>
        <w:t>Modular RESTful and GraphQL API services enforcing JWT/session validation, role-based authorization, request payload validation (Zod), and rate limiting.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3. Persistence &amp; Ledger Layer: </w:t>
      </w:r>
      <w:r>
        <w:rPr>
          <w:rFonts w:ascii="Segoe UI" w:hAnsi="Segoe UI"/>
          <w:color w:val="1F2937"/>
          <w:sz w:val="19"/>
        </w:rPr>
        <w:t>PostgreSQL with Row-Level Security (RLS) enforcing tenant isolation at the database level, transactional double-entry balancing triggers, and append-only audit tables.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4. Caching &amp; Idempotency Store: </w:t>
      </w:r>
      <w:r>
        <w:rPr>
          <w:rFonts w:ascii="Segoe UI" w:hAnsi="Segoe UI"/>
          <w:color w:val="1F2937"/>
          <w:sz w:val="19"/>
        </w:rPr>
        <w:t>Redis for high-speed session management, permission caching, and idempotency token evaluation.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5. Secure Document Storage: </w:t>
      </w:r>
      <w:r>
        <w:rPr>
          <w:rFonts w:ascii="Segoe UI" w:hAnsi="Segoe UI"/>
          <w:color w:val="1F2937"/>
          <w:sz w:val="19"/>
        </w:rPr>
        <w:t>S3-compatible object storage with server-side AES-256 encryption for student identification documents, certificates, and voucher attachments.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5"/>
        </w:rPr>
        <w:t>2.2 Core System Capabilities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16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4896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Web Platform Implementation</w:t>
            </w:r>
          </w:p>
        </w:tc>
        <w:tc>
          <w:tcPr>
            <w:tcW w:type="dxa" w:w="288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Architectural &amp; Security Standard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Authentication &amp; IAM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Argon2id password hashing, HTTP-only secure cookies, MFA for financial approvals, RBAC matrix.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OWASP Top 10 Compliant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White-Label CMS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Dynamic per-tenant theme generator, custom domains, HSL color tokens, typography selection.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Zero-Code Branding Engine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Student Intake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Multi-step admission wizard, structured 4-part names, biometric/photo capture, document checklist.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Client &amp; Server Schema Validation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Medical Fitness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Standardized examination panel, blood group, infectious disease screening, fit/unfit clearance.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Encrypted Medical Records Vault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Registration Engine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Atomic semester registration coupled with immediate double-entry ledger posting in a single transaction.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ACID Guaranteed Transaction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Chart of Accounts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5-tier normalized tree with parent keys, account codes, normal balance flags, and bilingual titles.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Strict Level-5 Postability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General Ledger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Immutable transactional ledger (`transaction_headers` / `transaction_lines`), balanced sum constraint.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Database Trigger Enforced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Voucher Approvals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Maker-Checker multi-stage workflow: Draft → Pending Review → Pending Approval → Posted.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Immutable State Transition Log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Cashiering Terminal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Multi-channel fee collection (Cash, Bank, Cheque, Online Gateway), automated receipt PDF generation.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Idempotency Token Enforced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Cheque Clearing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State machine (Received → In Collection → Deposited → Cleared / Bounced) with automatic GL entries.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Lifecycle Journal Automation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Fixed Assets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Automated straight-line depreciation engine, persisted schedule per asset, period-locked batch runs.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Idempotent Batch Dispatch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Budget &amp; Encumbrance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Multi-dimensional budget lines with real-time encumbrance tracking fed from Purchase Orders.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Real-Time Overrun Prevention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Financial Reporting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Incremental balance maintenance (`account_period_balances`), real-time Trial Balance and Balance Sheet.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&lt; 100ms Aggregate Retrieval</w:t>
            </w:r>
          </w:p>
        </w:tc>
      </w:tr>
      <w:tr>
        <w:tc>
          <w:tcPr>
            <w:tcW w:type="dxa" w:w="216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Arabic / English Engine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Native RTL mirroring, font shaping (Cairo/Inter), dual Hijri/Gregorian calendar, Arabic monetary تفقيط.</w:t>
            </w:r>
          </w:p>
        </w:tc>
        <w:tc>
          <w:tcPr>
            <w:tcW w:type="dxa" w:w="28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Unicode BiDi Compliance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5"/>
        </w:rPr>
        <w:t>2.3 System Invariants &amp; Architectural Principles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1F2937"/>
          <w:sz w:val="20"/>
        </w:rPr>
        <w:t>To guarantee institutional-grade data integrity and financial compliance, the UniFlow web platform enforces the following non-negotiable architectural invariants: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1. Double-Entry Balance: </w:t>
      </w:r>
      <w:r>
        <w:rPr>
          <w:rFonts w:ascii="Segoe UI" w:hAnsi="Segoe UI"/>
          <w:color w:val="1F2937"/>
          <w:sz w:val="19"/>
        </w:rPr>
        <w:t>Every journal voucher must satisfy Sum(Debits) = Sum(Credits) in the tenant's functional currency. This is validated by both client/API schemas and a deferred PostgreSQL database trigger.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2. Monetary Precision: </w:t>
      </w:r>
      <w:r>
        <w:rPr>
          <w:rFonts w:ascii="Segoe UI" w:hAnsi="Segoe UI"/>
          <w:color w:val="1F2937"/>
          <w:sz w:val="19"/>
        </w:rPr>
        <w:t>All monetary values are stored strictly as numeric(19,4) to completely eliminate floating-point rounding errors.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3. Financial Idempotency: </w:t>
      </w:r>
      <w:r>
        <w:rPr>
          <w:rFonts w:ascii="Segoe UI" w:hAnsi="Segoe UI"/>
          <w:color w:val="1F2937"/>
          <w:sz w:val="19"/>
        </w:rPr>
        <w:t>Every state-changing financial submission must include an idempotency key. Duplicate requests within a 24-hour window return the cached response without creating duplicate records.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4. Immutability &amp; Reversals: </w:t>
      </w:r>
      <w:r>
        <w:rPr>
          <w:rFonts w:ascii="Segoe UI" w:hAnsi="Segoe UI"/>
          <w:color w:val="1F2937"/>
          <w:sz w:val="19"/>
        </w:rPr>
        <w:t>Posted financial transactions cannot be updated or deleted by any user role (including Super Admin). Corrections require an explicit, linked reversal voucher with mandatory justification.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5. Multi-Tenant Isolation: </w:t>
      </w:r>
      <w:r>
        <w:rPr>
          <w:rFonts w:ascii="Segoe UI" w:hAnsi="Segoe UI"/>
          <w:color w:val="1F2937"/>
          <w:sz w:val="19"/>
        </w:rPr>
        <w:t>Every operational table includes a tenant_id column governed by PostgreSQL Row-Level Security policies, ensuring mathematical data isolation across all university clients.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6. Injection Immunity: </w:t>
      </w:r>
      <w:r>
        <w:rPr>
          <w:rFonts w:ascii="Segoe UI" w:hAnsi="Segoe UI"/>
          <w:color w:val="1F2937"/>
          <w:sz w:val="19"/>
        </w:rPr>
        <w:t>All data queries utilize parameterized prepared statements or typed ORM builders. Dynamic SQL concatenation is strictly barred.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5"/>
        </w:rPr>
        <w:t>2.4 User Classes, Personas &amp; Roles (RBAC)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1F2937"/>
          <w:sz w:val="20"/>
        </w:rPr>
        <w:t>The platform provides pre-configured role archetypes with granular permission matrices: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1. Super Administrator: </w:t>
      </w:r>
      <w:r>
        <w:rPr>
          <w:rFonts w:ascii="Segoe UI" w:hAnsi="Segoe UI"/>
          <w:color w:val="1F2937"/>
          <w:sz w:val="19"/>
        </w:rPr>
        <w:t>Global platform governance, tenant onboarding, subscription license tier enforcement, and platform-wide monitoring.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2. University Administrator: </w:t>
      </w:r>
      <w:r>
        <w:rPr>
          <w:rFonts w:ascii="Segoe UI" w:hAnsi="Segoe UI"/>
          <w:color w:val="1F2937"/>
          <w:sz w:val="19"/>
        </w:rPr>
        <w:t>Institutional configuration, academic hierarchy setup, staff account provisioning, and white-label landing page CMS customization.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3. Registrar / Admission Officer: </w:t>
      </w:r>
      <w:r>
        <w:rPr>
          <w:rFonts w:ascii="Segoe UI" w:hAnsi="Segoe UI"/>
          <w:color w:val="1F2937"/>
          <w:sz w:val="19"/>
        </w:rPr>
        <w:t>Student intake, application review, cohort management, semester registration, program transfers, and student holds.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4. Financial Controller / Manager: </w:t>
      </w:r>
      <w:r>
        <w:rPr>
          <w:rFonts w:ascii="Segoe UI" w:hAnsi="Segoe UI"/>
          <w:color w:val="1F2937"/>
          <w:sz w:val="19"/>
        </w:rPr>
        <w:t>Fiscal calendar control, period opening/closing, budget approvals, high-value voucher authorization, and financial statement sign-off.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5. Senior Accountant: </w:t>
      </w:r>
      <w:r>
        <w:rPr>
          <w:rFonts w:ascii="Segoe UI" w:hAnsi="Segoe UI"/>
          <w:color w:val="1F2937"/>
          <w:sz w:val="19"/>
        </w:rPr>
        <w:t>Journal voucher drafting, cheque portfolio management, fixed asset capitalisation, depreciation batch dispatch, and reconciliation.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6. Cashier / Teller: </w:t>
      </w:r>
      <w:r>
        <w:rPr>
          <w:rFonts w:ascii="Segoe UI" w:hAnsi="Segoe UI"/>
          <w:color w:val="1F2937"/>
          <w:sz w:val="19"/>
        </w:rPr>
        <w:t>Front-desk student billing, multi-channel fee receipting, daily cash drawer reconciliation, and receipt re-printing.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7. Dean / Academic Head: </w:t>
      </w:r>
      <w:r>
        <w:rPr>
          <w:rFonts w:ascii="Segoe UI" w:hAnsi="Segoe UI"/>
          <w:color w:val="1F2937"/>
          <w:sz w:val="19"/>
        </w:rPr>
        <w:t>Faculty-level student rosters, enrollment statistics, academic standing reviews, and quota monitoring.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8. Student / Guardian: </w:t>
      </w:r>
      <w:r>
        <w:rPr>
          <w:rFonts w:ascii="Segoe UI" w:hAnsi="Segoe UI"/>
          <w:color w:val="1F2937"/>
          <w:sz w:val="19"/>
        </w:rPr>
        <w:t>Online application tracking, fee invoice review, digital payments, registration proofs, and official statement downloads.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0284C7"/>
              <w:top w:val="none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0284C7"/>
                <w:sz w:val="19"/>
              </w:rPr>
              <w:t xml:space="preserve">[REQ-SOD-01: SEGREGATION OF DUTIES] </w:t>
            </w:r>
            <w:r>
              <w:rPr>
                <w:rFonts w:ascii="Segoe UI" w:hAnsi="Segoe UI"/>
                <w:color w:val="1F2937"/>
                <w:sz w:val="19"/>
              </w:rPr>
              <w:t>The RBAC engine enforces strict Segregation of Duties. The platform refuses any role definition granting: (a) Voucher Creation AND Approval; (b) Fee Matrix Maintenance AND Student Discount Approval; (c) Vendor Master Maintenance AND Payment Approval; (d) Journal Entry Posting AND Fiscal Period Unlocking.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Segoe UI" w:hAnsi="Segoe UI"/>
          <w:b/>
          <w:color w:val="1E3A8A"/>
          <w:sz w:val="32"/>
        </w:rPr>
        <w:t>3. Specific Functional Requirements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5"/>
        </w:rPr>
        <w:t>Module 1: White-Label Landing Page &amp; CMS Engine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1F2937"/>
          <w:sz w:val="20"/>
        </w:rPr>
        <w:t>Enables each university client to deploy a branded public web portal without software modifications.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REQ-LP-01: Dynamic Theme &amp; Branding: </w:t>
      </w:r>
      <w:r>
        <w:rPr>
          <w:rFonts w:ascii="Segoe UI" w:hAnsi="Segoe UI"/>
          <w:color w:val="1F2937"/>
          <w:sz w:val="19"/>
        </w:rPr>
        <w:t>Configurable university name (Arabic/English), logo (SVG/PNG), favicon, motto, HSL brand color palette, typography tokens, and social links.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REQ-LP-02: Hero &amp; Call-to-Action: </w:t>
      </w:r>
      <w:r>
        <w:rPr>
          <w:rFonts w:ascii="Segoe UI" w:hAnsi="Segoe UI"/>
          <w:color w:val="1F2937"/>
          <w:sz w:val="19"/>
        </w:rPr>
        <w:t>Hero banner with customizable headline, video/image background, and dynamic action buttons ('Apply Online', 'Student Portal', 'Staff Portal').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REQ-LP-03: Faculties &amp; Programs Explorer: </w:t>
      </w:r>
      <w:r>
        <w:rPr>
          <w:rFonts w:ascii="Segoe UI" w:hAnsi="Segoe UI"/>
          <w:color w:val="1F2937"/>
          <w:sz w:val="19"/>
        </w:rPr>
        <w:t>Public interactive catalog of Faculties, Degrees (B.Sc., M.Sc., Diploma), program curricula, admission criteria, and tuition fee schedules.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REQ-LP-04: Online Admissions Portal: </w:t>
      </w:r>
      <w:r>
        <w:rPr>
          <w:rFonts w:ascii="Segoe UI" w:hAnsi="Segoe UI"/>
          <w:color w:val="1F2937"/>
          <w:sz w:val="19"/>
        </w:rPr>
        <w:t>Multi-step online application wizard with certificate upload, ranking of program choices, tracking number generation, and optional online application fee gateway.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REQ-LP-05: News &amp; Academic Calendar CMS: </w:t>
      </w:r>
      <w:r>
        <w:rPr>
          <w:rFonts w:ascii="Segoe UI" w:hAnsi="Segoe UI"/>
          <w:color w:val="1F2937"/>
          <w:sz w:val="19"/>
        </w:rPr>
        <w:t>Rich-text publishing system for institutional announcements, academic deadlines, examination calendars, and semester start dates.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REQ-LP-06: Campus Information &amp; Contact: </w:t>
      </w:r>
      <w:r>
        <w:rPr>
          <w:rFonts w:ascii="Segoe UI" w:hAnsi="Segoe UI"/>
          <w:color w:val="1F2937"/>
          <w:sz w:val="19"/>
        </w:rPr>
        <w:t>Interactive Google Maps embed, campus contact directories, and prospective student inquiry forms.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5"/>
        </w:rPr>
        <w:t>Module 2: Academic Hierarchy &amp; Configuration Module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REQ-AC-01: Faculty &amp; Department Management: </w:t>
      </w:r>
      <w:r>
        <w:rPr>
          <w:rFonts w:ascii="Segoe UI" w:hAnsi="Segoe UI"/>
          <w:color w:val="1F2937"/>
          <w:sz w:val="19"/>
        </w:rPr>
        <w:t>Management of university academic divisions (Faculties/Colleges, Departments, Research Centers).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REQ-AC-02: Academic Programs &amp; Degrees: </w:t>
      </w:r>
      <w:r>
        <w:rPr>
          <w:rFonts w:ascii="Segoe UI" w:hAnsi="Segoe UI"/>
          <w:color w:val="1F2937"/>
          <w:sz w:val="19"/>
        </w:rPr>
        <w:t>Configuration of degree programs, duration (semesters/years), and required credit/course thresholds.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REQ-AC-03: Academic Years &amp; Batch Cycles: </w:t>
      </w:r>
      <w:r>
        <w:rPr>
          <w:rFonts w:ascii="Segoe UI" w:hAnsi="Segoe UI"/>
          <w:color w:val="1F2937"/>
          <w:sz w:val="19"/>
        </w:rPr>
        <w:t>Academic calendar configuration (Years e.g., 2026/2027, Semesters: Fall/Spring/Summer, and Student Batches).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REQ-AC-04: Comprehensive Fee Matrix Configuration: </w:t>
      </w:r>
      <w:r>
        <w:rPr>
          <w:rFonts w:ascii="Segoe UI" w:hAnsi="Segoe UI"/>
          <w:color w:val="1F2937"/>
          <w:sz w:val="19"/>
        </w:rPr>
        <w:t>Effective-dated matrix defining Program × Batch × Admission Channel (General/Private/Foreign/Staff) × Nationality Category → Fee Schedule. Every modification generates an immutable version record.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REQ-AC-05: Nationalities &amp; Admission Categories: </w:t>
      </w:r>
      <w:r>
        <w:rPr>
          <w:rFonts w:ascii="Segoe UI" w:hAnsi="Segoe UI"/>
          <w:color w:val="1F2937"/>
          <w:sz w:val="19"/>
        </w:rPr>
        <w:t>Master classification tables for national admission channels, expatriate quotas, and foreign student fee rules.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REQ-AC-06: Cost Center Master: </w:t>
      </w:r>
      <w:r>
        <w:rPr>
          <w:rFonts w:ascii="Segoe UI" w:hAnsi="Segoe UI"/>
          <w:color w:val="1F2937"/>
          <w:sz w:val="19"/>
        </w:rPr>
        <w:t>Hierarchical cost center allocation matching institutional organizational structures (Faculties, Clinics, Labs, Administration).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5"/>
        </w:rPr>
        <w:t>Module 3: Student Admission &amp; Digital Profile Management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REQ-ST-01: Multi-Step Profile Builder: </w:t>
      </w:r>
      <w:r>
        <w:rPr>
          <w:rFonts w:ascii="Segoe UI" w:hAnsi="Segoe UI"/>
          <w:color w:val="1F2937"/>
          <w:sz w:val="19"/>
        </w:rPr>
        <w:t>Capture of structured 4-part Arabic name and 4-part English name, unique University ID generation via configurable masks (e.g., [YEAR]-[PROG]-[SEQ]), demographics (DOB Gregorian &amp; Hijri, Nationality, National ID), and guardian contacts.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REQ-ST-02: Medical Fitness Records: </w:t>
      </w:r>
      <w:r>
        <w:rPr>
          <w:rFonts w:ascii="Segoe UI" w:hAnsi="Segoe UI"/>
          <w:color w:val="1F2937"/>
          <w:sz w:val="19"/>
        </w:rPr>
        <w:t>Standardized health screening recording blood type, Hepatitis B, HIV/AIDS, vaccination history, allergies, medical officer notes, and medical clearance status (Fit / Unfit / Conditional).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REQ-ST-03: Advanced Student Search &amp; Filter: </w:t>
      </w:r>
      <w:r>
        <w:rPr>
          <w:rFonts w:ascii="Segoe UI" w:hAnsi="Segoe UI"/>
          <w:color w:val="1F2937"/>
          <w:sz w:val="19"/>
        </w:rPr>
        <w:t>Sub-100ms debounced search with mandatory Arabic text normalisation (folding alef variants, taa marbuta/haa, yaa/alef maqsura, and tatweel).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REQ-ST-04: Student Profile Audit History: </w:t>
      </w:r>
      <w:r>
        <w:rPr>
          <w:rFonts w:ascii="Segoe UI" w:hAnsi="Segoe UI"/>
          <w:color w:val="1F2937"/>
          <w:sz w:val="19"/>
        </w:rPr>
        <w:t>Comprehensive edit history tracking field-level changes with actor ID, timestamp, and before/after values.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REQ-ST-05: Document Checklist &amp; Verification: </w:t>
      </w:r>
      <w:r>
        <w:rPr>
          <w:rFonts w:ascii="Segoe UI" w:hAnsi="Segoe UI"/>
          <w:color w:val="1F2937"/>
          <w:sz w:val="19"/>
        </w:rPr>
        <w:t>Per-program mandatory document verification checklist with document expiry tracking for international students.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5"/>
        </w:rPr>
        <w:t>Module 4: Annual / Semester Registration &amp; Student Lifecycle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REQ-REG-01: Semester Registration Workflow: </w:t>
      </w:r>
      <w:r>
        <w:rPr>
          <w:rFonts w:ascii="Segoe UI" w:hAnsi="Segoe UI"/>
          <w:color w:val="1F2937"/>
          <w:sz w:val="19"/>
        </w:rPr>
        <w:t>Student lookup → dynamic fee calculation based on active fee matrix version → application of authorized discount scheme → net fee computation.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REQ-REG-02: Automatic General Ledger Posting: </w:t>
      </w:r>
      <w:r>
        <w:rPr>
          <w:rFonts w:ascii="Segoe UI" w:hAnsi="Segoe UI"/>
          <w:color w:val="1F2937"/>
          <w:sz w:val="19"/>
        </w:rPr>
        <w:t>Completing registration atomically creates the registration record AND posts a double-entry journal transaction (Dr Student AR, Cr Unearned Tuition Revenue) within the same database transaction.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REQ-REG-03: Registration Cancellation &amp; Reversal: </w:t>
      </w:r>
      <w:r>
        <w:rPr>
          <w:rFonts w:ascii="Segoe UI" w:hAnsi="Segoe UI"/>
          <w:color w:val="1F2937"/>
          <w:sz w:val="19"/>
        </w:rPr>
        <w:t>Cancellation of registration generates a linked reversing journal entry; never edits or deletes historical postings.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REQ-REG-04: Student Program Transfer: </w:t>
      </w:r>
      <w:r>
        <w:rPr>
          <w:rFonts w:ascii="Segoe UI" w:hAnsi="Segoe UI"/>
          <w:color w:val="1F2937"/>
          <w:sz w:val="19"/>
        </w:rPr>
        <w:t>Transfers between programs trigger an automated financial adjustment: reversal of prior program charges and posting of new program fee structure.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REQ-REG-05: Digital Registration Proof &amp; ID Cards: </w:t>
      </w:r>
      <w:r>
        <w:rPr>
          <w:rFonts w:ascii="Segoe UI" w:hAnsi="Segoe UI"/>
          <w:color w:val="1F2937"/>
          <w:sz w:val="19"/>
        </w:rPr>
        <w:t>Generates printable digital registration cards and student ID cards featuring a tamper-proof QR code resolving to a verification API.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REQ-REG-06: Automated Registration Holds: </w:t>
      </w:r>
      <w:r>
        <w:rPr>
          <w:rFonts w:ascii="Segoe UI" w:hAnsi="Segoe UI"/>
          <w:color w:val="1F2937"/>
          <w:sz w:val="19"/>
        </w:rPr>
        <w:t>System flags (financial, academic, disciplinary, documentary) that automatically restrict registration and downstream services.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5"/>
        </w:rPr>
        <w:t>Module 5: 5-Tier Chart of Accounts &amp; General Ledger (GL)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REQ-FIN-01: 5-Tier Chart of Accounts (دليل الحسابات): </w:t>
      </w:r>
      <w:r>
        <w:rPr>
          <w:rFonts w:ascii="Segoe UI" w:hAnsi="Segoe UI"/>
          <w:color w:val="1F2937"/>
          <w:sz w:val="19"/>
        </w:rPr>
        <w:t>5-level normalized tree: (1) Major Class, (2) Group, (3) Sub-Group, (4) Parent Account, (5) Detail Account. Only Level-5 accounts accept postings.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REQ-FIN-02: Sub-Ledger Control Accounts: </w:t>
      </w:r>
      <w:r>
        <w:rPr>
          <w:rFonts w:ascii="Segoe UI" w:hAnsi="Segoe UI"/>
          <w:color w:val="1F2937"/>
          <w:sz w:val="19"/>
        </w:rPr>
        <w:t>Accounts designated as Control Accounts (Student AR, Sponsor AR, Vendor AP) accept postings exclusively via sub-ledgers to prevent ledger divergence.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REQ-FIN-03: Multi-Line General Journal Vouchers: </w:t>
      </w:r>
      <w:r>
        <w:rPr>
          <w:rFonts w:ascii="Segoe UI" w:hAnsi="Segoe UI"/>
          <w:color w:val="1F2937"/>
          <w:sz w:val="19"/>
        </w:rPr>
        <w:t>N-debit to N-credit journal entry grid with real-time balance validation, multi-currency conversion, FX gain/loss handling, and document attachments.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REQ-FIN-04: Maker-Checker Multi-Tier Voucher Approval: </w:t>
      </w:r>
      <w:r>
        <w:rPr>
          <w:rFonts w:ascii="Segoe UI" w:hAnsi="Segoe UI"/>
          <w:color w:val="1F2937"/>
          <w:sz w:val="19"/>
        </w:rPr>
        <w:t>4-stage workflow (Draft → Pending Review → Pending Approval → Posted). Approvals above configurable thresholds require MFA re-authentication.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REQ-FIN-05: Audit-Compliant Voucher Reversals: </w:t>
      </w:r>
      <w:r>
        <w:rPr>
          <w:rFonts w:ascii="Segoe UI" w:hAnsi="Segoe UI"/>
          <w:color w:val="1F2937"/>
          <w:sz w:val="19"/>
        </w:rPr>
        <w:t>Posted vouchers cannot be modified. Corrections require generating a linked reversal voucher with mandatory audit justification.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REQ-FIN-06: Sequential Document Numbering: </w:t>
      </w:r>
      <w:r>
        <w:rPr>
          <w:rFonts w:ascii="Segoe UI" w:hAnsi="Segoe UI"/>
          <w:color w:val="1F2937"/>
          <w:sz w:val="19"/>
        </w:rPr>
        <w:t>Per-tenant, per-fiscal-year, per-document-type sequential gapless numbering enforced by transactional database sequences.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5"/>
        </w:rPr>
        <w:t>Module 6: Cashiering, Student Billing &amp; Accounts Receivable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REQ-CSH-01: Multi-Channel Student Fee Collection: </w:t>
      </w:r>
      <w:r>
        <w:rPr>
          <w:rFonts w:ascii="Segoe UI" w:hAnsi="Segoe UI"/>
          <w:color w:val="1F2937"/>
          <w:sz w:val="19"/>
        </w:rPr>
        <w:t>Cashier POS interface supporting Cash, Bank Deposit, Cheque, and Online Gateway payments with instant bilingual thermal/A4 receipt generation.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REQ-CSH-02: Installment Plans &amp; Due Dates: </w:t>
      </w:r>
      <w:r>
        <w:rPr>
          <w:rFonts w:ascii="Segoe UI" w:hAnsi="Segoe UI"/>
          <w:color w:val="1F2937"/>
          <w:sz w:val="19"/>
        </w:rPr>
        <w:t>Configurable installment rules per program (e.g., 50% registration, 25% midterm, 25% final) with automated SMS/Email due date notifications.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REQ-CSH-03: General Payment Vouchers (سند صرف): </w:t>
      </w:r>
      <w:r>
        <w:rPr>
          <w:rFonts w:ascii="Segoe UI" w:hAnsi="Segoe UI"/>
          <w:color w:val="1F2937"/>
          <w:sz w:val="19"/>
        </w:rPr>
        <w:t>Disbursement vouchers for operational expenses, refunds, and vendor payments with maker-checker approval controls.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REQ-CSH-04: General Receipt Vouchers (سند قبض): </w:t>
      </w:r>
      <w:r>
        <w:rPr>
          <w:rFonts w:ascii="Segoe UI" w:hAnsi="Segoe UI"/>
          <w:color w:val="1F2937"/>
          <w:sz w:val="19"/>
        </w:rPr>
        <w:t>Vouchers for non-student revenues (grants, property leases, donations, certificate fees).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REQ-CSH-05: Online Payment Gateway Engine: </w:t>
      </w:r>
      <w:r>
        <w:rPr>
          <w:rFonts w:ascii="Segoe UI" w:hAnsi="Segoe UI"/>
          <w:color w:val="1F2937"/>
          <w:sz w:val="19"/>
        </w:rPr>
        <w:t>Provider-agnostic payment gateway architecture (Webhook callbacks, cryptographic signature validation, automatic reconciliation).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REQ-CSH-06: Receipt Cancellation Workflow: </w:t>
      </w:r>
      <w:r>
        <w:rPr>
          <w:rFonts w:ascii="Segoe UI" w:hAnsi="Segoe UI"/>
          <w:color w:val="1F2937"/>
          <w:sz w:val="19"/>
        </w:rPr>
        <w:t>Same-day receipt voiding by authorized supervisors with automatic linked reversal journal creation.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5"/>
        </w:rPr>
        <w:t>Module 7: Cheque Management &amp; Clearing Pipeline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REQ-CHQ-01: Cheque Portfolio &amp; Custody Tracking: </w:t>
      </w:r>
      <w:r>
        <w:rPr>
          <w:rFonts w:ascii="Segoe UI" w:hAnsi="Segoe UI"/>
          <w:color w:val="1F2937"/>
          <w:sz w:val="19"/>
        </w:rPr>
        <w:t>Central registry of post-dated and on-demand cheques (Cheque No, Bank, Branch, Due Date, Drawer Name, Amount, Custody).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REQ-CHQ-02: Cheque Clearing State Machine: </w:t>
      </w:r>
      <w:r>
        <w:rPr>
          <w:rFonts w:ascii="Segoe UI" w:hAnsi="Segoe UI"/>
          <w:color w:val="1F2937"/>
          <w:sz w:val="19"/>
        </w:rPr>
        <w:t>Multi-state lifecycle: Received (تحت التحصيل) → Sent to Bank (برسم التحصيل) → Cleared (محصل: Dr Bank, Cr Cheques Rec.) / Bounced (مرتجع: Dr Student AR, Cr Cheques Rec.) / Cancelled.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REQ-CHQ-03: Bounced Cheque Automation: </w:t>
      </w:r>
      <w:r>
        <w:rPr>
          <w:rFonts w:ascii="Segoe UI" w:hAnsi="Segoe UI"/>
          <w:color w:val="1F2937"/>
          <w:sz w:val="19"/>
        </w:rPr>
        <w:t>Bounced cheques automatically reinstate student balance, log bank refusal codes, and apply configurable penalty fees.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5"/>
        </w:rPr>
        <w:t>Module 8: Institutional Budgeting &amp; Financial Control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REQ-BDG-01: Fiscal Budget Preparation: </w:t>
      </w:r>
      <w:r>
        <w:rPr>
          <w:rFonts w:ascii="Segoe UI" w:hAnsi="Segoe UI"/>
          <w:color w:val="1F2937"/>
          <w:sz w:val="19"/>
        </w:rPr>
        <w:t>Annual budget preparation by Fiscal Year × Account × Cost Center, with monthly distributions and revision versioning.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REQ-BDG-02: Real-Time Budgetary Control: </w:t>
      </w:r>
      <w:r>
        <w:rPr>
          <w:rFonts w:ascii="Segoe UI" w:hAnsi="Segoe UI"/>
          <w:color w:val="1F2937"/>
          <w:sz w:val="19"/>
        </w:rPr>
        <w:t>Real-time available budget calculation: Available = Allocated - Encumbered - Actual. Hard-stop or warning policies on budget overruns.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REQ-BDG-03: Budget vs. Actual Variance Reporting: </w:t>
      </w:r>
      <w:r>
        <w:rPr>
          <w:rFonts w:ascii="Segoe UI" w:hAnsi="Segoe UI"/>
          <w:color w:val="1F2937"/>
          <w:sz w:val="19"/>
        </w:rPr>
        <w:t>Multi-dimensional reporting comparing Budgeted, Encumbered, Actual, Variance, and Utilization %.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5"/>
        </w:rPr>
        <w:t>Module 9: Fixed Assets Management &amp; Depreciation Engine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REQ-AST-01: Fixed Asset Registry: </w:t>
      </w:r>
      <w:r>
        <w:rPr>
          <w:rFonts w:ascii="Segoe UI" w:hAnsi="Segoe UI"/>
          <w:color w:val="1F2937"/>
          <w:sz w:val="19"/>
        </w:rPr>
        <w:t>Cataloging of university assets (Lab equipment, IT, furniture, vehicles, buildings) with QR/Barcode, location, custodian, and cost.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REQ-AST-02: Depreciation Engine: </w:t>
      </w:r>
      <w:r>
        <w:rPr>
          <w:rFonts w:ascii="Segoe UI" w:hAnsi="Segoe UI"/>
          <w:color w:val="1F2937"/>
          <w:sz w:val="19"/>
        </w:rPr>
        <w:t>Automated straight-line depreciation engine generating a persisted schedule per asset from capitalisation date to salvage value.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REQ-AST-03: Automated Depreciation Journal Dispatch: </w:t>
      </w:r>
      <w:r>
        <w:rPr>
          <w:rFonts w:ascii="Segoe UI" w:hAnsi="Segoe UI"/>
          <w:color w:val="1F2937"/>
          <w:sz w:val="19"/>
        </w:rPr>
        <w:t>Period-end automated posting (Dr Depreciation Expense, Cr Accumulated Depreciation). Runs are idempotent and period-locked.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REQ-AST-04: Asset Disposal &amp; Revaluation: </w:t>
      </w:r>
      <w:r>
        <w:rPr>
          <w:rFonts w:ascii="Segoe UI" w:hAnsi="Segoe UI"/>
          <w:color w:val="1F2937"/>
          <w:sz w:val="19"/>
        </w:rPr>
        <w:t>Asset sale, scrap, or revaluation with automatic gain/loss calculation and derecognition journals.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5"/>
        </w:rPr>
        <w:t>Module 10: Financial Statements, Reports &amp; Business Intelligence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REQ-RPT-01: Student Statement of Account (كشف حساب طالب): </w:t>
      </w:r>
      <w:r>
        <w:rPr>
          <w:rFonts w:ascii="Segoe UI" w:hAnsi="Segoe UI"/>
          <w:color w:val="1F2937"/>
          <w:sz w:val="19"/>
        </w:rPr>
        <w:t>Detailed chronological statement of charges, credits, running balance, and receipt numbers.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REQ-RPT-02: Aging of Student Receivables: </w:t>
      </w:r>
      <w:r>
        <w:rPr>
          <w:rFonts w:ascii="Segoe UI" w:hAnsi="Segoe UI"/>
          <w:color w:val="1F2937"/>
          <w:sz w:val="19"/>
        </w:rPr>
        <w:t>Receivable aging buckets (&lt;30, 31-60, 61-90, &gt;90 days) aged from installment due dates, filterable by faculty/program.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REQ-RPT-03: Trial Balance (ميزان المراجعة): </w:t>
      </w:r>
      <w:r>
        <w:rPr>
          <w:rFonts w:ascii="Segoe UI" w:hAnsi="Segoe UI"/>
          <w:color w:val="1F2937"/>
          <w:sz w:val="19"/>
        </w:rPr>
        <w:t>Multi-level Trial Balance with Opening, Movement, and Closing columns sourced directly from period-balance aggregators.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REQ-RPT-04: Multi-Level Balance Sheet (الميزانية العمومية): </w:t>
      </w:r>
      <w:r>
        <w:rPr>
          <w:rFonts w:ascii="Segoe UI" w:hAnsi="Segoe UI"/>
          <w:color w:val="1F2937"/>
          <w:sz w:val="19"/>
        </w:rPr>
        <w:t>Standardized institutional Balance Sheet formatted from Level 1 to Level 4 hierarchy.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REQ-RPT-05: Income Statement (قائمة الدخل): </w:t>
      </w:r>
      <w:r>
        <w:rPr>
          <w:rFonts w:ascii="Segoe UI" w:hAnsi="Segoe UI"/>
          <w:color w:val="1F2937"/>
          <w:sz w:val="19"/>
        </w:rPr>
        <w:t>Operational revenues vs. expenses, net surplus/deficit, filterable by Cost Center with comparative prior-period analysis.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REQ-RPT-06: Sub-Ledger Reconciliation Report: </w:t>
      </w:r>
      <w:r>
        <w:rPr>
          <w:rFonts w:ascii="Segoe UI" w:hAnsi="Segoe UI"/>
          <w:color w:val="1F2937"/>
          <w:sz w:val="19"/>
        </w:rPr>
        <w:t>Automated verification report ensuring Sub-Ledger totals match General Ledger Control Account balances exactly.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REQ-RPT-07: Export &amp; Reporting Engine: </w:t>
      </w:r>
      <w:r>
        <w:rPr>
          <w:rFonts w:ascii="Segoe UI" w:hAnsi="Segoe UI"/>
          <w:color w:val="1F2937"/>
          <w:sz w:val="19"/>
        </w:rPr>
        <w:t>High-speed export to Excel (.xlsx), CSV, and shaped bilingual PDF with official university header and digital stamps.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5"/>
        </w:rPr>
        <w:t>Module 11: Multi-Tenancy, Security &amp; Administration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REQ-ADM-01: Multi-Tenant Partitioning: </w:t>
      </w:r>
      <w:r>
        <w:rPr>
          <w:rFonts w:ascii="Segoe UI" w:hAnsi="Segoe UI"/>
          <w:color w:val="1F2937"/>
          <w:sz w:val="19"/>
        </w:rPr>
        <w:t>PostgreSQL Row-Level Security (RLS) and application middleware enforcing strict tenant isolation.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REQ-ADM-02: RBAC Matrix: </w:t>
      </w:r>
      <w:r>
        <w:rPr>
          <w:rFonts w:ascii="Segoe UI" w:hAnsi="Segoe UI"/>
          <w:color w:val="1F2937"/>
          <w:sz w:val="19"/>
        </w:rPr>
        <w:t>Granular role-based permissions governing view, create, edit, approve, and reverse actions per module.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REQ-ADM-03: Immutable Tamper-Evident Audit Log: </w:t>
      </w:r>
      <w:r>
        <w:rPr>
          <w:rFonts w:ascii="Segoe UI" w:hAnsi="Segoe UI"/>
          <w:color w:val="1F2937"/>
          <w:sz w:val="19"/>
        </w:rPr>
        <w:t>Cryptographically hash-chained, append-only audit trail logging user, IP, timestamp, action, and full JSON diff.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REQ-ADM-04: Bilingual RTL/LTR Engine: </w:t>
      </w:r>
      <w:r>
        <w:rPr>
          <w:rFonts w:ascii="Segoe UI" w:hAnsi="Segoe UI"/>
          <w:color w:val="1F2937"/>
          <w:sz w:val="19"/>
        </w:rPr>
        <w:t>Zero-reload language switching, full RTL layout mirroring, dual Gregorian/Hijri calendars, and Arabic monetary amount spelling (تفقيط).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REQ-ADM-05: Tenant Licensing &amp; Entitlements: </w:t>
      </w:r>
      <w:r>
        <w:rPr>
          <w:rFonts w:ascii="Segoe UI" w:hAnsi="Segoe UI"/>
          <w:color w:val="1F2937"/>
          <w:sz w:val="19"/>
        </w:rPr>
        <w:t>Tiered SaaS subscription plan enforcement controlling active modules, student capacity, and administrative seats.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5"/>
        </w:rPr>
        <w:t>Module 12: Fiscal Calendar, Period Control &amp; Opening Balances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REQ-PER-01: Fiscal Year &amp; Period Definition: </w:t>
      </w:r>
      <w:r>
        <w:rPr>
          <w:rFonts w:ascii="Segoe UI" w:hAnsi="Segoe UI"/>
          <w:color w:val="1F2937"/>
          <w:sz w:val="19"/>
        </w:rPr>
        <w:t>Configurable fiscal years divided into accounting periods with strict states: Future, Open, Closed, Permanently Closed.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REQ-PER-02: Posting Period Lock: </w:t>
      </w:r>
      <w:r>
        <w:rPr>
          <w:rFonts w:ascii="Segoe UI" w:hAnsi="Segoe UI"/>
          <w:color w:val="1F2937"/>
          <w:sz w:val="19"/>
        </w:rPr>
        <w:t>System rejects any posting dated within a Closed fiscal period. Period close requires passing an automated pre-close reconciliation checklist.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REQ-PER-03: Opening Balances Module: </w:t>
      </w:r>
      <w:r>
        <w:rPr>
          <w:rFonts w:ascii="Segoe UI" w:hAnsi="Segoe UI"/>
          <w:color w:val="1F2937"/>
          <w:sz w:val="19"/>
        </w:rPr>
        <w:t>Dedicated opening balance module for institutional go-live, requiring exact debit/credit and sub-ledger balancing before live operations commence.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REQ-PER-04: Year-End Financial Close: </w:t>
      </w:r>
      <w:r>
        <w:rPr>
          <w:rFonts w:ascii="Segoe UI" w:hAnsi="Segoe UI"/>
          <w:color w:val="1F2937"/>
          <w:sz w:val="19"/>
        </w:rPr>
        <w:t>Automated closing of revenue and expense accounts into Retained Earnings / Surplus with balance carry-forward.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5"/>
        </w:rPr>
        <w:t>Module 13: Fee Item Catalog &amp; Revenue Recognition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REQ-FEE-01: Fee Item Catalog: </w:t>
      </w:r>
      <w:r>
        <w:rPr>
          <w:rFonts w:ascii="Segoe UI" w:hAnsi="Segoe UI"/>
          <w:color w:val="1F2937"/>
          <w:sz w:val="19"/>
        </w:rPr>
        <w:t>Master catalog of billable fees (Tuition, Registration, Labs, Exams, ID, Hostel, Transport) with assigned GL revenue accounts.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REQ-FEE-02: Deferred Revenue Recognition: </w:t>
      </w:r>
      <w:r>
        <w:rPr>
          <w:rFonts w:ascii="Segoe UI" w:hAnsi="Segoe UI"/>
          <w:color w:val="1F2937"/>
          <w:sz w:val="19"/>
        </w:rPr>
        <w:t>Tuition fees are initially credited to Unearned Fee Income and recognized into revenue across semester periods via scheduled recognition jobs.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REQ-FEE-03: Withdrawal &amp; Refund Governance: </w:t>
      </w:r>
      <w:r>
        <w:rPr>
          <w:rFonts w:ascii="Segoe UI" w:hAnsi="Segoe UI"/>
          <w:color w:val="1F2937"/>
          <w:sz w:val="19"/>
        </w:rPr>
        <w:t>Automated refund calculation based on withdrawal date schedules, reversing unearned income and raising accounts payable.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REQ-FEE-04: Student Credit Balances: </w:t>
      </w:r>
      <w:r>
        <w:rPr>
          <w:rFonts w:ascii="Segoe UI" w:hAnsi="Segoe UI"/>
          <w:color w:val="1F2937"/>
          <w:sz w:val="19"/>
        </w:rPr>
        <w:t>Maintenance of student credit balances resulting from overpayments or approved refunds, auto-applied to future registrations.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5"/>
        </w:rPr>
        <w:t>Module 14: Student Status Lifecycle Management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REQ-LIF-01: Comprehensive Status Model: </w:t>
      </w:r>
      <w:r>
        <w:rPr>
          <w:rFonts w:ascii="Segoe UI" w:hAnsi="Segoe UI"/>
          <w:color w:val="1F2937"/>
          <w:sz w:val="19"/>
        </w:rPr>
        <w:t>Formal state machine: Applicant → Admitted → Active → Deferred / Suspended / Withdrawn / Dismissed / Transferred / Graduated → Alumni.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REQ-LIF-02: Transition Governance &amp; Audit: </w:t>
      </w:r>
      <w:r>
        <w:rPr>
          <w:rFonts w:ascii="Segoe UI" w:hAnsi="Segoe UI"/>
          <w:color w:val="1F2937"/>
          <w:sz w:val="19"/>
        </w:rPr>
        <w:t>Every status transition requires formal justification, supporting documentation, and authorized workflow sign-off.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REQ-LIF-03: Re-Admission Processing: </w:t>
      </w:r>
      <w:r>
        <w:rPr>
          <w:rFonts w:ascii="Segoe UI" w:hAnsi="Segoe UI"/>
          <w:color w:val="1F2937"/>
          <w:sz w:val="19"/>
        </w:rPr>
        <w:t>Streamlined re-admission workflow restoring prior academic history and applying the currently active fee matrix version.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5"/>
        </w:rPr>
        <w:t>Module 15: Sponsors &amp; Scholarships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REQ-SPN-01: Sponsor Master: </w:t>
      </w:r>
      <w:r>
        <w:rPr>
          <w:rFonts w:ascii="Segoe UI" w:hAnsi="Segoe UI"/>
          <w:color w:val="1F2937"/>
          <w:sz w:val="19"/>
        </w:rPr>
        <w:t>Registry of corporate sponsors, government ministries, and embassies with contract parameters and billing addresses.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REQ-SPN-02: Split Funding Engine: </w:t>
      </w:r>
      <w:r>
        <w:rPr>
          <w:rFonts w:ascii="Segoe UI" w:hAnsi="Segoe UI"/>
          <w:color w:val="1F2937"/>
          <w:sz w:val="19"/>
        </w:rPr>
        <w:t>Automated billing split apportioning student charges between student self-pay and sponsor AR accounts.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REQ-SPN-03: Sponsor Invoicing &amp; Reconciliation: </w:t>
      </w:r>
      <w:r>
        <w:rPr>
          <w:rFonts w:ascii="Segoe UI" w:hAnsi="Segoe UI"/>
          <w:color w:val="1F2937"/>
          <w:sz w:val="19"/>
        </w:rPr>
        <w:t>Consolidated invoicing per sponsor per billing cycle with automated aging and payment matching.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REQ-SPN-04: Scholarship Schemes &amp; Discount Governance: </w:t>
      </w:r>
      <w:r>
        <w:rPr>
          <w:rFonts w:ascii="Segoe UI" w:hAnsi="Segoe UI"/>
          <w:color w:val="1F2937"/>
          <w:sz w:val="19"/>
        </w:rPr>
        <w:t>Scholarship program management with allocated budgets, eligibility criteria, approval thresholds, and foregone revenue exposure reports.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5"/>
        </w:rPr>
        <w:t>Module 16: Procurement &amp; Accounts Payable with Encumbrance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REQ-PRC-01: Vendor Master: </w:t>
      </w:r>
      <w:r>
        <w:rPr>
          <w:rFonts w:ascii="Segoe UI" w:hAnsi="Segoe UI"/>
          <w:color w:val="1F2937"/>
          <w:sz w:val="19"/>
        </w:rPr>
        <w:t>Vendor directory, bank accounts, tax numbers, payment terms, and assigned AP control accounts.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REQ-PRC-02: Procure-to-Pay Workflow: </w:t>
      </w:r>
      <w:r>
        <w:rPr>
          <w:rFonts w:ascii="Segoe UI" w:hAnsi="Segoe UI"/>
          <w:color w:val="1F2937"/>
          <w:sz w:val="19"/>
        </w:rPr>
        <w:t>Full procure-to-pay workflow: Purchase Requisition → Purchase Order (creates Encumbrance) → Goods Receipt → Vendor Invoice → Payment Voucher.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REQ-PRC-03: Encumbrance Accounting: </w:t>
      </w:r>
      <w:r>
        <w:rPr>
          <w:rFonts w:ascii="Segoe UI" w:hAnsi="Segoe UI"/>
          <w:color w:val="1F2937"/>
          <w:sz w:val="19"/>
        </w:rPr>
        <w:t>Automated commitment against budget lines upon PO approval, converting to accrued liability on goods receipt.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REQ-PRC-04: Three-Way Match Engine: </w:t>
      </w:r>
      <w:r>
        <w:rPr>
          <w:rFonts w:ascii="Segoe UI" w:hAnsi="Segoe UI"/>
          <w:color w:val="1F2937"/>
          <w:sz w:val="19"/>
        </w:rPr>
        <w:t>Automated three-way matching among Purchase Order, Goods Receipt, and Vendor Invoice with configurable variance tolerances.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REQ-PRC-05: AP Aging &amp; Payment Run: </w:t>
      </w:r>
      <w:r>
        <w:rPr>
          <w:rFonts w:ascii="Segoe UI" w:hAnsi="Segoe UI"/>
          <w:color w:val="1F2937"/>
          <w:sz w:val="19"/>
        </w:rPr>
        <w:t>Vendor invoice aging and batch payment proposal generator.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5"/>
        </w:rPr>
        <w:t>Module 17: Admissions Capacity &amp; Committee Workflow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REQ-ADM-CAP-01: Seat Quota Management: </w:t>
      </w:r>
      <w:r>
        <w:rPr>
          <w:rFonts w:ascii="Segoe UI" w:hAnsi="Segoe UI"/>
          <w:color w:val="1F2937"/>
          <w:sz w:val="19"/>
        </w:rPr>
        <w:t>Real-time seat quotas per Program × Batch × Admission Channel (General, Private, Foreign, Scholarship) preventing over-enrollment.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REQ-ADM-CAP-02: Automated Eligibility Rules: </w:t>
      </w:r>
      <w:r>
        <w:rPr>
          <w:rFonts w:ascii="Segoe UI" w:hAnsi="Segoe UI"/>
          <w:color w:val="1F2937"/>
          <w:sz w:val="19"/>
        </w:rPr>
        <w:t>Automated screening of secondary certificate scores, prerequisites, and age/nationality rules.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REQ-ADM-CAP-03: Committee Review &amp; Scoring: </w:t>
      </w:r>
      <w:r>
        <w:rPr>
          <w:rFonts w:ascii="Segoe UI" w:hAnsi="Segoe UI"/>
          <w:color w:val="1F2937"/>
          <w:sz w:val="19"/>
        </w:rPr>
        <w:t>Committee evaluation portal with candidate ranking and structured decision recording (Accept, Conditional, Waitlist, Reject).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REQ-ADM-CAP-04: Offers &amp; Deposit Payments: </w:t>
      </w:r>
      <w:r>
        <w:rPr>
          <w:rFonts w:ascii="Segoe UI" w:hAnsi="Segoe UI"/>
          <w:color w:val="1F2937"/>
          <w:sz w:val="19"/>
        </w:rPr>
        <w:t>Automated bilingual offer letter generation with expiration deadlines and online seat deposit collection.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REQ-ADM-CAP-05: Duplicate Candidate Detection: </w:t>
      </w:r>
      <w:r>
        <w:rPr>
          <w:rFonts w:ascii="Segoe UI" w:hAnsi="Segoe UI"/>
          <w:color w:val="1F2937"/>
          <w:sz w:val="19"/>
        </w:rPr>
        <w:t>Intelligent duplicate candidate matching based on national ID, passport, and normalized Arabic name.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REQ-ADM-CAP-06: Bulk Intake Roster Import: </w:t>
      </w:r>
      <w:r>
        <w:rPr>
          <w:rFonts w:ascii="Segoe UI" w:hAnsi="Segoe UI"/>
          <w:color w:val="1F2937"/>
          <w:sz w:val="19"/>
        </w:rPr>
        <w:t>Bulk import engine for centrally-allocated admissions rosters (Excel/CSV) with pre-commit dry-run validation.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5"/>
        </w:rPr>
        <w:t>Module 18: Academic Records &amp; Course Management (Phase 7-8 Roadmap)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REQ-ACD-01: Course Catalog &amp; Curriculum: </w:t>
      </w:r>
      <w:r>
        <w:rPr>
          <w:rFonts w:ascii="Segoe UI" w:hAnsi="Segoe UI"/>
          <w:color w:val="1F2937"/>
          <w:sz w:val="19"/>
        </w:rPr>
        <w:t>Course master with codes, bilingual titles, credit/contact hours, and prerequisite/co-requisite dependency trees.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REQ-ACD-02: Timetable &amp; Section Scheduling: </w:t>
      </w:r>
      <w:r>
        <w:rPr>
          <w:rFonts w:ascii="Segoe UI" w:hAnsi="Segoe UI"/>
          <w:color w:val="1F2937"/>
          <w:sz w:val="19"/>
        </w:rPr>
        <w:t>Term course section scheduling with instructor allocation, room capacity, and timetable clash detection.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REQ-ACD-03: Course Registration Engine: </w:t>
      </w:r>
      <w:r>
        <w:rPr>
          <w:rFonts w:ascii="Segoe UI" w:hAnsi="Segoe UI"/>
          <w:color w:val="1F2937"/>
          <w:sz w:val="19"/>
        </w:rPr>
        <w:t>Student course enrollment with prerequisite validation, credit load limits, and automated financial hold blocking (REQ-REG-06).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REQ-ACD-04: Attendance Tracking &amp; Warnings: </w:t>
      </w:r>
      <w:r>
        <w:rPr>
          <w:rFonts w:ascii="Segoe UI" w:hAnsi="Segoe UI"/>
          <w:color w:val="1F2937"/>
          <w:sz w:val="19"/>
        </w:rPr>
        <w:t>Session attendance tracking enforcing regional 75% examination eligibility rules with automated risk alerts.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REQ-ACD-05: Assessment, Grading &amp; GPA: </w:t>
      </w:r>
      <w:r>
        <w:rPr>
          <w:rFonts w:ascii="Segoe UI" w:hAnsi="Segoe UI"/>
          <w:color w:val="1F2937"/>
          <w:sz w:val="19"/>
        </w:rPr>
        <w:t>Multi-component grade entry, instructor→department head approval workflow, GPA/cGPA calculation, and academic standing evaluation.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REQ-ACD-06: Examination Management: </w:t>
      </w:r>
      <w:r>
        <w:rPr>
          <w:rFonts w:ascii="Segoe UI" w:hAnsi="Segoe UI"/>
          <w:color w:val="1F2937"/>
          <w:sz w:val="19"/>
        </w:rPr>
        <w:t>Exam hall seating allocation, invigilator schedules, results publishing, and fee-bearing re-sit workflows.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REQ-ACD-07: Transcripts &amp; Degree Audit: </w:t>
      </w:r>
      <w:r>
        <w:rPr>
          <w:rFonts w:ascii="Segoe UI" w:hAnsi="Segoe UI"/>
          <w:color w:val="1F2937"/>
          <w:sz w:val="19"/>
        </w:rPr>
        <w:t>Official bilingual academic transcripts with QR verification, degree audit validation, and multi-department graduation clearance.</w:t>
      </w:r>
    </w:p>
    <w:p>
      <w:pPr>
        <w:keepNext/>
        <w:spacing w:before="360" w:after="120"/>
      </w:pPr>
      <w:r>
        <w:rPr>
          <w:rFonts w:ascii="Segoe UI" w:hAnsi="Segoe UI"/>
          <w:b/>
          <w:color w:val="1E3A8A"/>
          <w:sz w:val="32"/>
        </w:rPr>
        <w:t>4. Data Architecture &amp; Database Schema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5"/>
        </w:rPr>
        <w:t>4.1 Core Relational Schema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1F2937"/>
          <w:sz w:val="20"/>
        </w:rPr>
        <w:t>The relational database schema is structured into normalized, tenant-isolated tables utilizing strict foreign keys, check constraints, and immutable audit structures. The core tables include: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016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331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Table Name</w:t>
            </w:r>
          </w:p>
        </w:tc>
        <w:tc>
          <w:tcPr>
            <w:tcW w:type="dxa" w:w="4608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Key Attributes &amp; Purpose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Platform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tenants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id, slug, name_en, name_ar, logo_url, theme_config, functional_currency, fiscal_year_start_month, plan_id, is_active</w:t>
            </w:r>
          </w:p>
        </w:tc>
      </w:tr>
      <w:tr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Security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users, roles, permissions</w:t>
            </w:r>
          </w:p>
        </w:tc>
        <w:tc>
          <w:tcPr>
            <w:tcW w:type="dxa" w:w="460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User authentication, role definitions, and granular screen/action permission mapping.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Security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audit_log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id, tenant_id, actor_id, ip, occurred_at, action, resource_type, resource_id, before_json, after_json, prev_hash, hash (Append-Only)</w:t>
            </w:r>
          </w:p>
        </w:tc>
      </w:tr>
      <w:tr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Security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idempotency_keys</w:t>
            </w:r>
          </w:p>
        </w:tc>
        <w:tc>
          <w:tcPr>
            <w:tcW w:type="dxa" w:w="460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key, tenant_id, endpoint, request_hash, response_json, created_at (Guarantees single execution)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Platform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document_sequences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tenant_id, fiscal_year_id, doc_type, next_value, prefix, padding (Transactional gapless sequence allocator)</w:t>
            </w:r>
          </w:p>
        </w:tc>
      </w:tr>
      <w:tr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Academic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faculties, academic_programs</w:t>
            </w:r>
          </w:p>
        </w:tc>
        <w:tc>
          <w:tcPr>
            <w:tcW w:type="dxa" w:w="460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Institutional academic hierarchy, program duration, credit structures, and college divisions.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Academic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academic_batches, academic_years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Academic calendar divisions, cohorts, and semester terms.</w:t>
            </w:r>
          </w:p>
        </w:tc>
      </w:tr>
      <w:tr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Academic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fee_items, fee_schedules</w:t>
            </w:r>
          </w:p>
        </w:tc>
        <w:tc>
          <w:tcPr>
            <w:tcW w:type="dxa" w:w="460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Catalog of billable fees and effective-dated, versioned fee pricing matrices.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Academic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seat_quotas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id, tenant_id, program_id, batch_id, admission_channel, capacity, allocated, confirmed.</w:t>
            </w:r>
          </w:p>
        </w:tc>
      </w:tr>
      <w:tr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Students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applications</w:t>
            </w:r>
          </w:p>
        </w:tc>
        <w:tc>
          <w:tcPr>
            <w:tcW w:type="dxa" w:w="460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Prospective student applications, program ranking choices, review scores, decisions, and deposits.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Students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students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id, tenant_id, student_index, national_id, name_ar_1..4, name_en_1..4, name_ar_normalized, dob, status, program_id</w:t>
            </w:r>
          </w:p>
        </w:tc>
      </w:tr>
      <w:tr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Students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student_status_history</w:t>
            </w:r>
          </w:p>
        </w:tc>
        <w:tc>
          <w:tcPr>
            <w:tcW w:type="dxa" w:w="460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Historical log of student lifecycle transitions with supporting document references.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Students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holds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id, student_id, hold_type (financial/academic/disciplinary), reason, placed_by, cleared_by.</w:t>
            </w:r>
          </w:p>
        </w:tc>
      </w:tr>
      <w:tr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Students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medical_records, student_docs</w:t>
            </w:r>
          </w:p>
        </w:tc>
        <w:tc>
          <w:tcPr>
            <w:tcW w:type="dxa" w:w="460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Student health clearance evaluations and verified uploaded documents.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Billing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semester_registrations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id, tenant_id, student_id, program_id, academic_year, term_id, discount_pct, status, posted_header_id</w:t>
            </w:r>
          </w:p>
        </w:tc>
      </w:tr>
      <w:tr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Billing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charges, installments</w:t>
            </w:r>
          </w:p>
        </w:tc>
        <w:tc>
          <w:tcPr>
            <w:tcW w:type="dxa" w:w="460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Itemized semester fee charges and structured payment installment schedules.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Billing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revenue_recognition_schedule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Deferred revenue schedules amortizing unearned income across semester periods.</w:t>
            </w:r>
          </w:p>
        </w:tc>
      </w:tr>
      <w:tr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Sponsors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sponsors, sponsorships</w:t>
            </w:r>
          </w:p>
        </w:tc>
        <w:tc>
          <w:tcPr>
            <w:tcW w:type="dxa" w:w="460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Corporate/embassy sponsor contracts, student coverage caps, and co-funding rules.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General Ledger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fiscal_years, fiscal_periods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Accounting calendar, period lock states (Future, Open, Closed, Permanently Closed).</w:t>
            </w:r>
          </w:p>
        </w:tc>
      </w:tr>
      <w:tr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General Ledger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chart_of_accounts</w:t>
            </w:r>
          </w:p>
        </w:tc>
        <w:tc>
          <w:tcPr>
            <w:tcW w:type="dxa" w:w="460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5-tier accounting tree (Level 1-5), parent keys, normal balance, postable flag, control account flag.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General Ledger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cost_centers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Multi-dimensional organizational cost allocation units.</w:t>
            </w:r>
          </w:p>
        </w:tc>
      </w:tr>
      <w:tr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General Ledger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voucher_drafts, approval_events</w:t>
            </w:r>
          </w:p>
        </w:tc>
        <w:tc>
          <w:tcPr>
            <w:tcW w:type="dxa" w:w="460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Staged voucher drafts and complete multi-tier approval/rejection audit trail.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General Ledger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transaction_headers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id, tenant_id, fiscal_period_id, voucher_no, voucher_type, doc_date, total_amount, currency, posted_by, reversed</w:t>
            </w:r>
          </w:p>
        </w:tc>
      </w:tr>
      <w:tr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General Ledger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transaction_lines</w:t>
            </w:r>
          </w:p>
        </w:tc>
        <w:tc>
          <w:tcPr>
            <w:tcW w:type="dxa" w:w="460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id, header_id, line_no, account_id, cost_center_id, subledger_id, debit_amount, credit_amount (numeric 19,4)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General Ledger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account_period_balances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Incremental period balance rollups powering sub-100ms trial balance and balance sheet queries.</w:t>
            </w:r>
          </w:p>
        </w:tc>
      </w:tr>
      <w:tr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Treasury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cheques</w:t>
            </w:r>
          </w:p>
        </w:tc>
        <w:tc>
          <w:tcPr>
            <w:tcW w:type="dxa" w:w="460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id, tenant_id, cheque_no, bank_name, due_date, drawer_name, amount, status, custody, bounce_reason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Assets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fixed_assets, depr_schedule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Fixed asset registry and pre-computed straight-line depreciation schedules.</w:t>
            </w:r>
          </w:p>
        </w:tc>
      </w:tr>
      <w:tr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Budgeting</w:t>
            </w:r>
          </w:p>
        </w:tc>
        <w:tc>
          <w:tcPr>
            <w:tcW w:type="dxa" w:w="331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budgets, budget_lines</w:t>
            </w:r>
          </w:p>
        </w:tc>
        <w:tc>
          <w:tcPr>
            <w:tcW w:type="dxa" w:w="4608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Annual fiscal budgets per account and cost center with real-time encumbrance tracking.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Procurement</w:t>
            </w:r>
          </w:p>
        </w:tc>
        <w:tc>
          <w:tcPr>
            <w:tcW w:type="dxa" w:w="331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vendors, purchase_orders</w:t>
            </w:r>
          </w:p>
        </w:tc>
        <w:tc>
          <w:tcPr>
            <w:tcW w:type="dxa" w:w="46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Vendor master, purchase requisitions, purchase orders, goods receipts, and 3-way matching.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5"/>
        </w:rPr>
        <w:t>4.2 Database-Enforced Invariants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456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Invariant Rule</w:t>
            </w:r>
          </w:p>
        </w:tc>
        <w:tc>
          <w:tcPr>
            <w:tcW w:type="dxa" w:w="648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Database Enforcement Mechanism</w:t>
            </w:r>
          </w:p>
        </w:tc>
      </w:tr>
      <w:t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Double-Entry Voucher Balance</w:t>
            </w:r>
          </w:p>
        </w:tc>
        <w:tc>
          <w:tcPr>
            <w:tcW w:type="dxa" w:w="64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Deferred PostgreSQL constraint trigger enforcing SUM(debits) = SUM(credits) in functional currency per voucher.</w:t>
            </w:r>
          </w:p>
        </w:tc>
      </w:tr>
      <w:t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Gapless Document Numbering</w:t>
            </w:r>
          </w:p>
        </w:tc>
        <w:tc>
          <w:tcPr>
            <w:tcW w:type="dxa" w:w="64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Transactional sequence table with UNIQUE (tenant_id, fiscal_year_id, voucher_type, voucher_no).</w:t>
            </w:r>
          </w:p>
        </w:tc>
      </w:tr>
      <w:t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Closed Period Lock</w:t>
            </w:r>
          </w:p>
        </w:tc>
        <w:tc>
          <w:tcPr>
            <w:tcW w:type="dxa" w:w="64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Database trigger on transaction_headers validating fiscal_periods.status = 'Open' prior to insert.</w:t>
            </w:r>
          </w:p>
        </w:tc>
      </w:tr>
      <w:t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Strict Level-5 Postability</w:t>
            </w:r>
          </w:p>
        </w:tc>
        <w:tc>
          <w:tcPr>
            <w:tcW w:type="dxa" w:w="64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Foreign key check constraint ensuring postings only reference accounts where is_postable = TRUE.</w:t>
            </w:r>
          </w:p>
        </w:tc>
      </w:tr>
      <w:t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Sub-Ledger Integrity</w:t>
            </w:r>
          </w:p>
        </w:tc>
        <w:tc>
          <w:tcPr>
            <w:tcW w:type="dxa" w:w="64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CHECK constraint ensuring control accounts always include a valid subledger_id.</w:t>
            </w:r>
          </w:p>
        </w:tc>
      </w:tr>
      <w:t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Ledger Immutability</w:t>
            </w:r>
          </w:p>
        </w:tc>
        <w:tc>
          <w:tcPr>
            <w:tcW w:type="dxa" w:w="64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PostgreSQL revoked UPDATE/DELETE privileges on transaction_headers and transaction_lines.</w:t>
            </w:r>
          </w:p>
        </w:tc>
      </w:tr>
      <w:t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Zero Monetary Precision Loss</w:t>
            </w:r>
          </w:p>
        </w:tc>
        <w:tc>
          <w:tcPr>
            <w:tcW w:type="dxa" w:w="64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All financial columns declared strictly as numeric(19,4).</w:t>
            </w:r>
          </w:p>
        </w:tc>
      </w:tr>
      <w:t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Multi-Tenant Isolation</w:t>
            </w:r>
          </w:p>
        </w:tc>
        <w:tc>
          <w:tcPr>
            <w:tcW w:type="dxa" w:w="64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PostgreSQL Row-Level Security (RLS) policies applied to all tenant operational tables.</w:t>
            </w:r>
          </w:p>
        </w:tc>
      </w:tr>
      <w:tr>
        <w:tc>
          <w:tcPr>
            <w:tcW w:type="dxa" w:w="345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Single Reversal Constraint</w:t>
            </w:r>
          </w:p>
        </w:tc>
        <w:tc>
          <w:tcPr>
            <w:tcW w:type="dxa" w:w="64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UNIQUE index on (reverses_id) WHERE reverses_id IS NOT NULL ensuring vouchers are reversed at most once.</w:t>
            </w:r>
          </w:p>
        </w:tc>
      </w:tr>
      <w:tr>
        <w:tc>
          <w:tcPr>
            <w:tcW w:type="dxa" w:w="345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Tamper-Evident Audit Chain</w:t>
            </w:r>
          </w:p>
        </w:tc>
        <w:tc>
          <w:tcPr>
            <w:tcW w:type="dxa" w:w="648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Cryptographic SHA-256 hash chaining linking each audit log entry to its predecessor (prev_hash).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1E3A8A"/>
          <w:sz w:val="32"/>
        </w:rPr>
        <w:t>5. Non-Functional Requirements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5"/>
        </w:rPr>
        <w:t>5.1 Performance, Scalability &amp; Responsiveness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REQ-NFR-01: Page Load &amp; Transition: </w:t>
      </w:r>
      <w:r>
        <w:rPr>
          <w:rFonts w:ascii="Segoe UI" w:hAnsi="Segoe UI"/>
          <w:color w:val="1F2937"/>
          <w:sz w:val="19"/>
        </w:rPr>
        <w:t>Initial application payload load &lt; 1.5 seconds; client-side route transitions &lt; 200 milliseconds.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REQ-NFR-02: Search &amp; Query Latency: </w:t>
      </w:r>
      <w:r>
        <w:rPr>
          <w:rFonts w:ascii="Segoe UI" w:hAnsi="Segoe UI"/>
          <w:color w:val="1F2937"/>
          <w:sz w:val="19"/>
        </w:rPr>
        <w:t>Debounced student and account searches resolve in &lt; 100 ms at scale (&gt; 100,000 students, &gt; 1,000,000 journal lines) utilizing trigram and normalized Arabic indexes.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REQ-NFR-03: High Concurrency: </w:t>
      </w:r>
      <w:r>
        <w:rPr>
          <w:rFonts w:ascii="Segoe UI" w:hAnsi="Segoe UI"/>
          <w:color w:val="1F2937"/>
          <w:sz w:val="19"/>
        </w:rPr>
        <w:t>Sustained throughput of 500+ concurrent cashiering and registration transactions with zero deadlocks and zero sequence collisions.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5"/>
        </w:rPr>
        <w:t>5.2 Security, Compliance &amp; Data Protection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REQ-NFR-04: Cryptographic Standards: </w:t>
      </w:r>
      <w:r>
        <w:rPr>
          <w:rFonts w:ascii="Segoe UI" w:hAnsi="Segoe UI"/>
          <w:color w:val="1F2937"/>
          <w:sz w:val="19"/>
        </w:rPr>
        <w:t>Mandatory TLS 1.3 in transit; AES-256 encryption at rest for databases and document vaults.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REQ-NFR-05: Identity &amp; Authentication: </w:t>
      </w:r>
      <w:r>
        <w:rPr>
          <w:rFonts w:ascii="Segoe UI" w:hAnsi="Segoe UI"/>
          <w:color w:val="1F2937"/>
          <w:sz w:val="19"/>
        </w:rPr>
        <w:t>Session tokens stored in Secure/HttpOnly/SameSite cookies; Argon2id password hashing; MFA required for high-value financial actions.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REQ-NFR-06: Financial Audit Integrity: </w:t>
      </w:r>
      <w:r>
        <w:rPr>
          <w:rFonts w:ascii="Segoe UI" w:hAnsi="Segoe UI"/>
          <w:color w:val="1F2937"/>
          <w:sz w:val="19"/>
        </w:rPr>
        <w:t>Total prohibition of hard deletes or silent edits on financial data. All corrections require explicit linked reversals.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REQ-NFR-07: Idempotency Enforcement: </w:t>
      </w:r>
      <w:r>
        <w:rPr>
          <w:rFonts w:ascii="Segoe UI" w:hAnsi="Segoe UI"/>
          <w:color w:val="1F2937"/>
          <w:sz w:val="19"/>
        </w:rPr>
        <w:t>Mandatory idempotency tokens on all state-changing financial APIs, preventing duplicate payments or registrations during network retries.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REQ-NFR-08: Injection Immunity: </w:t>
      </w:r>
      <w:r>
        <w:rPr>
          <w:rFonts w:ascii="Segoe UI" w:hAnsi="Segoe UI"/>
          <w:color w:val="1F2937"/>
          <w:sz w:val="19"/>
        </w:rPr>
        <w:t>All database access executed via parameterized queries or typed ORM models, eliminating SQL injection vectors.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5"/>
        </w:rPr>
        <w:t>5.3 Accessibility, Bilingual &amp; Regional Support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REQ-NFR-09: Bilingual &amp; RTL Typography: </w:t>
      </w:r>
      <w:r>
        <w:rPr>
          <w:rFonts w:ascii="Segoe UI" w:hAnsi="Segoe UI"/>
          <w:color w:val="1F2937"/>
          <w:sz w:val="19"/>
        </w:rPr>
        <w:t>Native Arabic RTL support with typography (Cairo / Tajawal / IBM Plex Arabic) and English LTR (Inter); correct Arabic PDF text shaping; algorithmic Arabic monetary spelling (تفقيط).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REQ-NFR-10: Dual Calendar Engine: </w:t>
      </w:r>
      <w:r>
        <w:rPr>
          <w:rFonts w:ascii="Segoe UI" w:hAnsi="Segoe UI"/>
          <w:color w:val="1F2937"/>
          <w:sz w:val="19"/>
        </w:rPr>
        <w:t>Simultaneous display and input support for Gregorian and Hijri calendars across all student-facing and official documents.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REQ-NFR-11: Responsive Layouts: </w:t>
      </w:r>
      <w:r>
        <w:rPr>
          <w:rFonts w:ascii="Segoe UI" w:hAnsi="Segoe UI"/>
          <w:color w:val="1F2937"/>
          <w:sz w:val="19"/>
        </w:rPr>
        <w:t>Fully responsive across desktop workstations (1920x1080, 1440x900), tablets, and POS mobile screens.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REQ-NFR-12: Theming &amp; Tokens: </w:t>
      </w:r>
      <w:r>
        <w:rPr>
          <w:rFonts w:ascii="Segoe UI" w:hAnsi="Segoe UI"/>
          <w:color w:val="1F2937"/>
          <w:sz w:val="19"/>
        </w:rPr>
        <w:t>shadcn UI / Tailwind CSS design tokens supporting seamless Light and Dark modes and custom university brand palettes.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REQ-NFR-13: Accessibility: </w:t>
      </w:r>
      <w:r>
        <w:rPr>
          <w:rFonts w:ascii="Segoe UI" w:hAnsi="Segoe UI"/>
          <w:color w:val="1F2937"/>
          <w:sz w:val="19"/>
        </w:rPr>
        <w:t>Compliance with WCAG 2.2 Level AA accessibility standards across all public and student portal surfaces.</w:t>
      </w:r>
    </w:p>
    <w:p>
      <w:pPr>
        <w:keepNext/>
        <w:spacing w:before="240" w:after="80"/>
      </w:pPr>
      <w:r>
        <w:rPr>
          <w:rFonts w:ascii="Segoe UI" w:hAnsi="Segoe UI"/>
          <w:b/>
          <w:color w:val="2563EB"/>
          <w:sz w:val="25"/>
        </w:rPr>
        <w:t>5.4 Availability, Disaster Recovery &amp; Telemetry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REQ-NFR-14: Backup &amp; Disaster Recovery: </w:t>
      </w:r>
      <w:r>
        <w:rPr>
          <w:rFonts w:ascii="Segoe UI" w:hAnsi="Segoe UI"/>
          <w:color w:val="1F2937"/>
          <w:sz w:val="19"/>
        </w:rPr>
        <w:t>Recovery Point Objective (RPO) &lt;= 15 minutes; Recovery Time Objective (RTO) &lt;= 4 hours with automated snapshot drills.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REQ-NFR-15: System Observability: </w:t>
      </w:r>
      <w:r>
        <w:rPr>
          <w:rFonts w:ascii="Segoe UI" w:hAnsi="Segoe UI"/>
          <w:color w:val="1F2937"/>
          <w:sz w:val="19"/>
        </w:rPr>
        <w:t>Structured JSON logging with request correlation IDs, real-time alerting on voucher imbalances or sub-ledger discrepancies.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REQ-NFR-16: Data Export &amp; Retention: </w:t>
      </w:r>
      <w:r>
        <w:rPr>
          <w:rFonts w:ascii="Segoe UI" w:hAnsi="Segoe UI"/>
          <w:color w:val="1F2937"/>
          <w:sz w:val="19"/>
        </w:rPr>
        <w:t>Automated tenant data export in open formats (CSV/JSON/SQL) with configurable institutional retention policies.</w:t>
      </w:r>
    </w:p>
    <w:p>
      <w:pPr>
        <w:keepNext/>
        <w:spacing w:before="360" w:after="120"/>
      </w:pPr>
      <w:r>
        <w:rPr>
          <w:rFonts w:ascii="Segoe UI" w:hAnsi="Segoe UI"/>
          <w:b/>
          <w:color w:val="1E3A8A"/>
          <w:sz w:val="32"/>
        </w:rPr>
        <w:t>6. Institutional Tenant Onboarding &amp; Initialization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1F2937"/>
          <w:sz w:val="20"/>
        </w:rPr>
        <w:t>UniFlow enforces a rigorous, 4-stage onboarding protocol to ensure that new institutional tenants go live with fully reconciled, mathematically verified operational ledgers: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Stage 1 — Chart of Accounts Setup: </w:t>
      </w:r>
      <w:r>
        <w:rPr>
          <w:rFonts w:ascii="Segoe UI" w:hAnsi="Segoe UI"/>
          <w:color w:val="1F2937"/>
          <w:sz w:val="19"/>
        </w:rPr>
        <w:t>Import from standard institutional CSV templates or seed from the pre-packaged Higher Education COA template. Validates 5-tier depth, normal balances, and control account flags.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Stage 2 — Master Data Initialization: </w:t>
      </w:r>
      <w:r>
        <w:rPr>
          <w:rFonts w:ascii="Segoe UI" w:hAnsi="Segoe UI"/>
          <w:color w:val="1F2937"/>
          <w:sz w:val="19"/>
        </w:rPr>
        <w:t>Import of faculties, degree programs, batch cohorts, fee items, fee schedules, cost centers, and active student rosters with duplicate checking and dry-run validation.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Stage 3 — Opening Balances &amp; Reconciliation Gate: </w:t>
      </w:r>
      <w:r>
        <w:rPr>
          <w:rFonts w:ascii="Segoe UI" w:hAnsi="Segoe UI"/>
          <w:color w:val="1F2937"/>
          <w:sz w:val="19"/>
        </w:rPr>
        <w:t>Entry of opening GL balances and per-student, per-sponsor, and per-vendor sub-ledger balances. Go-live is gated on zero variance between total debits/credits and sub-ledger totals.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1F2937"/>
          <w:sz w:val="19"/>
        </w:rPr>
        <w:t xml:space="preserve">Stage 4 — Go-Live &amp; Operational Cutover: </w:t>
      </w:r>
      <w:r>
        <w:rPr>
          <w:rFonts w:ascii="Segoe UI" w:hAnsi="Segoe UI"/>
          <w:color w:val="1F2937"/>
          <w:sz w:val="19"/>
        </w:rPr>
        <w:t>User provisioning, RBAC role assignment, Segregation of Duties review, opening of the first fiscal year/periods, and cashier drawer allocation.</w:t>
      </w:r>
    </w:p>
    <w:p>
      <w:pPr>
        <w:keepNext/>
        <w:spacing w:before="360" w:after="120"/>
      </w:pPr>
      <w:r>
        <w:rPr>
          <w:rFonts w:ascii="Segoe UI" w:hAnsi="Segoe UI"/>
          <w:b/>
          <w:color w:val="1E3A8A"/>
          <w:sz w:val="32"/>
        </w:rPr>
        <w:t>7. Strategic Product Roadmap &amp; Future Extensions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1F2937"/>
          <w:sz w:val="20"/>
        </w:rPr>
        <w:t>The following strategic capabilities are specified for planned deployment in subsequent product milestones: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Functional Area</w:t>
            </w:r>
          </w:p>
        </w:tc>
        <w:tc>
          <w:tcPr>
            <w:tcW w:type="dxa" w:w="360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Target Capability</w:t>
            </w:r>
          </w:p>
        </w:tc>
        <w:tc>
          <w:tcPr>
            <w:tcW w:type="dxa" w:w="3744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Strategic Value &amp; Operational Impact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Cashier Shift Controls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Shift open/close with denomination counting, Z-reports, and petty cash imprest management.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Enhanced teller drawer security and cash handling governance.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Payroll &amp; HR-Lite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Staff registry, grade pay scales, monthly payroll batch posting, and end-of-service accruals.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Unifies university human capital expenditure directly into the GL.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Offline PWA Terminal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Offline-tolerant cashier Progressive Web App queueing receipts with local cryptographic signing.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Guarantees cashier continuity during campus network or power outages.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Automated Communications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Multi-channel SMS, WhatsApp, and Email dunning pipeline for payment reminders and notices.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Accelerates student accounts receivable collection cycles.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Ancillary Billing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Hostel bed allocation, transportation route subscriptions, and library fee integration.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Consolidates campus service revenues into the central student ledger.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Advanced Analytics &amp; BI</w:t>
            </w:r>
          </w:p>
        </w:tc>
        <w:tc>
          <w:tcPr>
            <w:tcW w:type="dxa" w:w="3600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Cash flow forecasting, student enrollment funnel conversion, and regulatory statistical returns.</w:t>
            </w:r>
          </w:p>
        </w:tc>
        <w:tc>
          <w:tcPr>
            <w:tcW w:type="dxa" w:w="374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Delivers executive decision support for university boards and deans.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SaaS Platform Billing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Automated subscription metering, institutional invoice generation, and credit card / wire processing.</w:t>
            </w:r>
          </w:p>
        </w:tc>
        <w:tc>
          <w:tcPr>
            <w:tcW w:type="dxa" w:w="374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F2937"/>
                <w:sz w:val="17"/>
              </w:rPr>
              <w:t>Automates commercial billing for multi-institution deployments.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egoe UI" w:hAnsi="Segoe UI"/>
        <w:color w:val="94A3B8"/>
        <w:sz w:val="17"/>
      </w:rPr>
      <w:t>Version 2.0.0 | ISO/IEC/IEEE 29148 Standard Compliant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94A3B8"/>
        <w:sz w:val="17"/>
      </w:rPr>
      <w:t>UniFlow Enterprise ERP —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