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 2026 Revenue Summary</w:t>
      </w:r>
    </w:p>
    <w:p>
      <w:pPr>
        <w:pStyle w:val="Heading1"/>
      </w:pPr>
      <w:r>
        <w:t>Confirmed revenue / الإيرادات المؤكدة</w:t>
      </w:r>
    </w:p>
    <w:p>
      <w:r>
        <w:t>Confirmed revenue as of 30 April 2026 is SAR 768,000.</w:t>
      </w:r>
    </w:p>
    <w:p>
      <w:r>
        <w:t>This is made up of sponsorship of SAR 420,000 and booth sales of SAR 348,000 (29 standard booths at SAR 12,000).</w:t>
      </w:r>
    </w:p>
    <w:p>
      <w:pPr>
        <w:pStyle w:val="Heading1"/>
      </w:pPr>
      <w:r>
        <w:t>Pipeline (not confirmed) / إيرادات قيد التفاوض</w:t>
      </w:r>
    </w:p>
    <w:p>
      <w:r>
        <w:t>A further SAR 210,000 is under negotiation with three sponsors and is not included in confirmed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 2026 Revenue Summary</dc:title>
  <dc:subject/>
  <dc:creator>Linearyze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