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EFBF8" w14:textId="77777777" w:rsidR="00760230" w:rsidRDefault="00000000">
      <w:pPr>
        <w:spacing w:after="0" w:line="259" w:lineRule="auto"/>
        <w:ind w:left="1697" w:right="0" w:firstLine="0"/>
      </w:pPr>
      <w:proofErr w:type="gramStart"/>
      <w:r>
        <w:rPr>
          <w:b/>
          <w:color w:val="C04F15"/>
          <w:sz w:val="60"/>
        </w:rPr>
        <w:t>-:Student</w:t>
      </w:r>
      <w:proofErr w:type="gramEnd"/>
      <w:r>
        <w:rPr>
          <w:b/>
          <w:color w:val="C04F15"/>
          <w:sz w:val="60"/>
        </w:rPr>
        <w:t xml:space="preserve"> </w:t>
      </w:r>
      <w:proofErr w:type="gramStart"/>
      <w:r>
        <w:rPr>
          <w:b/>
          <w:color w:val="C04F15"/>
          <w:sz w:val="60"/>
        </w:rPr>
        <w:t>Dashboards:-</w:t>
      </w:r>
      <w:proofErr w:type="gramEnd"/>
      <w:r>
        <w:rPr>
          <w:b/>
          <w:color w:val="C04F15"/>
          <w:sz w:val="60"/>
        </w:rPr>
        <w:t xml:space="preserve"> </w:t>
      </w:r>
    </w:p>
    <w:p w14:paraId="05BCD5DC" w14:textId="0ABD7E70" w:rsidR="00760230" w:rsidRDefault="00000000" w:rsidP="007305EA">
      <w:pPr>
        <w:ind w:right="0"/>
      </w:pPr>
      <w:r>
        <w:t xml:space="preserve">This search interface allows administrators and analysts to query platform data directly using natural language. </w:t>
      </w:r>
      <w:r>
        <w:rPr>
          <w:b/>
          <w:color w:val="C04F15"/>
          <w:sz w:val="32"/>
        </w:rPr>
        <w:t xml:space="preserve"> </w:t>
      </w:r>
    </w:p>
    <w:p w14:paraId="38651D2F" w14:textId="77777777" w:rsidR="00760230" w:rsidRDefault="00000000">
      <w:pPr>
        <w:spacing w:after="190" w:line="259" w:lineRule="auto"/>
        <w:ind w:left="-5" w:right="0"/>
      </w:pPr>
      <w:r>
        <w:rPr>
          <w:b/>
          <w:color w:val="C04F15"/>
          <w:sz w:val="32"/>
          <w:u w:val="single" w:color="BF4F14"/>
        </w:rPr>
        <w:t>Tableau Dashboard:</w:t>
      </w:r>
      <w:r>
        <w:rPr>
          <w:b/>
          <w:color w:val="C04F15"/>
          <w:sz w:val="32"/>
        </w:rPr>
        <w:t xml:space="preserve"> </w:t>
      </w:r>
    </w:p>
    <w:p w14:paraId="1A1D59C3" w14:textId="77777777" w:rsidR="00760230" w:rsidRDefault="00000000">
      <w:pPr>
        <w:pStyle w:val="Heading1"/>
        <w:spacing w:after="0"/>
        <w:ind w:left="-5"/>
      </w:pPr>
      <w:r>
        <w:t># Student Overview Dashboard</w:t>
      </w:r>
      <w:r>
        <w:rPr>
          <w:sz w:val="32"/>
        </w:rPr>
        <w:t xml:space="preserve"> </w:t>
      </w:r>
    </w:p>
    <w:p w14:paraId="73093E77" w14:textId="77777777" w:rsidR="00760230" w:rsidRDefault="00000000">
      <w:pPr>
        <w:spacing w:after="12"/>
        <w:ind w:right="0"/>
      </w:pPr>
      <w:r>
        <w:t xml:space="preserve">This dashboard is built using Tableau, as evidenced by the "© 2025 </w:t>
      </w:r>
      <w:proofErr w:type="spellStart"/>
      <w:r>
        <w:t>Mapbox</w:t>
      </w:r>
      <w:proofErr w:type="spellEnd"/>
      <w:r>
        <w:t xml:space="preserve"> © </w:t>
      </w:r>
    </w:p>
    <w:p w14:paraId="44AE5703" w14:textId="77777777" w:rsidR="00760230" w:rsidRDefault="00000000">
      <w:pPr>
        <w:spacing w:after="82" w:line="344" w:lineRule="auto"/>
        <w:ind w:right="210"/>
      </w:pPr>
      <w:r>
        <w:t>OpenStreetMap" attribution visible at the bottom of the map visualization. It serves as an executive summary dashboard designed for leadership stakeholders.</w:t>
      </w:r>
      <w:r>
        <w:rPr>
          <w:b/>
          <w:color w:val="C04F15"/>
        </w:rPr>
        <w:t xml:space="preserve"> </w:t>
      </w:r>
      <w:r>
        <w:rPr>
          <w:b/>
        </w:rPr>
        <w:t xml:space="preserve">Primary Metrics </w:t>
      </w:r>
    </w:p>
    <w:p w14:paraId="6F4CEAA0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Total Students:</w:t>
      </w:r>
      <w:r>
        <w:t xml:space="preserve"> 69.5K registered users </w:t>
      </w:r>
    </w:p>
    <w:p w14:paraId="74D1E279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Average Age:</w:t>
      </w:r>
      <w:r>
        <w:t xml:space="preserve"> 28.5 years across all users </w:t>
      </w:r>
    </w:p>
    <w:p w14:paraId="32EA40F5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Total Enrollments:</w:t>
      </w:r>
      <w:r>
        <w:t xml:space="preserve"> 43.3K course enrollments </w:t>
      </w:r>
    </w:p>
    <w:p w14:paraId="5FCABA5D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Average Progress:</w:t>
      </w:r>
      <w:r>
        <w:t xml:space="preserve"> 56.0% course completion rate </w:t>
      </w:r>
    </w:p>
    <w:p w14:paraId="7F5C66EF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Average Rating:</w:t>
      </w:r>
      <w:r>
        <w:t xml:space="preserve"> 4.4 out of 5.0 platform satisfaction </w:t>
      </w:r>
    </w:p>
    <w:p w14:paraId="16E5E745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Total Courses &amp; Users by Country </w:t>
      </w:r>
    </w:p>
    <w:p w14:paraId="0CE61311" w14:textId="77777777" w:rsidR="00760230" w:rsidRDefault="00000000">
      <w:pPr>
        <w:numPr>
          <w:ilvl w:val="0"/>
          <w:numId w:val="7"/>
        </w:numPr>
        <w:ind w:right="0" w:firstLine="0"/>
      </w:pPr>
      <w:r>
        <w:t xml:space="preserve">Tableau-powered </w:t>
      </w:r>
      <w:proofErr w:type="spellStart"/>
      <w:r>
        <w:t>Mapbox</w:t>
      </w:r>
      <w:proofErr w:type="spellEnd"/>
      <w:r>
        <w:t xml:space="preserve"> visualization showing global distribution of users and course enrollments </w:t>
      </w:r>
    </w:p>
    <w:p w14:paraId="71763436" w14:textId="77777777" w:rsidR="00760230" w:rsidRDefault="00000000">
      <w:pPr>
        <w:numPr>
          <w:ilvl w:val="0"/>
          <w:numId w:val="7"/>
        </w:numPr>
        <w:ind w:right="0" w:firstLine="0"/>
      </w:pPr>
      <w:r>
        <w:t xml:space="preserve">Concentrated user base in North America, Europe, Australia, and parts of Asia </w:t>
      </w:r>
    </w:p>
    <w:p w14:paraId="5EBDEEEE" w14:textId="77777777" w:rsidR="00760230" w:rsidRDefault="00000000">
      <w:pPr>
        <w:numPr>
          <w:ilvl w:val="0"/>
          <w:numId w:val="7"/>
        </w:numPr>
        <w:spacing w:after="82" w:line="344" w:lineRule="auto"/>
        <w:ind w:right="0" w:firstLine="0"/>
      </w:pPr>
      <w:r>
        <w:t xml:space="preserve">Tableau's geographic mapping capabilities allow for clearer visualization of regional concentrations </w:t>
      </w:r>
      <w:r>
        <w:rPr>
          <w:b/>
        </w:rPr>
        <w:t xml:space="preserve">Gender Distribution </w:t>
      </w:r>
    </w:p>
    <w:p w14:paraId="37840F48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Male:</w:t>
      </w:r>
      <w:r>
        <w:t xml:space="preserve"> 49.96% of user base </w:t>
      </w:r>
    </w:p>
    <w:p w14:paraId="604B096E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Female:</w:t>
      </w:r>
      <w:r>
        <w:t xml:space="preserve"> 50.04% of user base </w:t>
      </w:r>
    </w:p>
    <w:p w14:paraId="39B5BDB8" w14:textId="77777777" w:rsidR="00760230" w:rsidRDefault="00000000">
      <w:pPr>
        <w:numPr>
          <w:ilvl w:val="0"/>
          <w:numId w:val="7"/>
        </w:numPr>
        <w:ind w:right="0" w:firstLine="0"/>
      </w:pPr>
      <w:r>
        <w:t xml:space="preserve">Near-equal gender split with slightly more female users </w:t>
      </w:r>
    </w:p>
    <w:p w14:paraId="0C3BFFE2" w14:textId="77777777" w:rsidR="00760230" w:rsidRDefault="00000000">
      <w:pPr>
        <w:numPr>
          <w:ilvl w:val="0"/>
          <w:numId w:val="7"/>
        </w:numPr>
        <w:ind w:right="0" w:firstLine="0"/>
      </w:pPr>
      <w:r>
        <w:t xml:space="preserve">Displayed as a Tableau donut chart with clear percentage labels </w:t>
      </w:r>
    </w:p>
    <w:p w14:paraId="74D431E1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Progress% by Rating Band </w:t>
      </w:r>
    </w:p>
    <w:p w14:paraId="0B8A6819" w14:textId="77777777" w:rsidR="00760230" w:rsidRDefault="00000000">
      <w:pPr>
        <w:ind w:right="0"/>
      </w:pPr>
      <w:r>
        <w:t xml:space="preserve">Different progress rates by course rating level, displayed using Tableau's lollipop chart visualization: </w:t>
      </w:r>
    </w:p>
    <w:p w14:paraId="57C83529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lastRenderedPageBreak/>
        <w:t>Good (...):</w:t>
      </w:r>
      <w:r>
        <w:t xml:space="preserve"> 56.2% average progress </w:t>
      </w:r>
    </w:p>
    <w:p w14:paraId="36AC5AEF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Excellent...:</w:t>
      </w:r>
      <w:r>
        <w:t xml:space="preserve"> 55.9% average progress </w:t>
      </w:r>
    </w:p>
    <w:p w14:paraId="0D295207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Poor (&lt;2.5):</w:t>
      </w:r>
      <w:r>
        <w:t xml:space="preserve"> 55.9% average progress </w:t>
      </w:r>
    </w:p>
    <w:p w14:paraId="053C89CC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Average...:</w:t>
      </w:r>
      <w:r>
        <w:t xml:space="preserve"> 53.8% average progress </w:t>
      </w:r>
    </w:p>
    <w:p w14:paraId="7E7F13DF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Annual Enrollments </w:t>
      </w:r>
    </w:p>
    <w:p w14:paraId="6C2A5E20" w14:textId="77777777" w:rsidR="00760230" w:rsidRDefault="00000000">
      <w:pPr>
        <w:ind w:right="0"/>
      </w:pPr>
      <w:r>
        <w:t xml:space="preserve">Year-over-year platform growth visualized as a Tableau area chart: </w:t>
      </w:r>
    </w:p>
    <w:p w14:paraId="3069E53E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2020:</w:t>
      </w:r>
      <w:r>
        <w:t xml:space="preserve"> 114 enrollments (launch year) </w:t>
      </w:r>
    </w:p>
    <w:p w14:paraId="698C397D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2021:</w:t>
      </w:r>
      <w:r>
        <w:t xml:space="preserve"> 2,357 enrollments (1,967% growth) </w:t>
      </w:r>
    </w:p>
    <w:p w14:paraId="43865291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2022:</w:t>
      </w:r>
      <w:r>
        <w:t xml:space="preserve"> 5,819 enrollments (147% growth) </w:t>
      </w:r>
    </w:p>
    <w:p w14:paraId="131A5C92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2023:</w:t>
      </w:r>
      <w:r>
        <w:t xml:space="preserve"> 8,992 enrollments (55% growth) </w:t>
      </w:r>
    </w:p>
    <w:p w14:paraId="755E02FC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2024:</w:t>
      </w:r>
      <w:r>
        <w:t xml:space="preserve"> 12,451 enrollments (38% growth) </w:t>
      </w:r>
    </w:p>
    <w:p w14:paraId="32A5755C" w14:textId="77777777" w:rsidR="00760230" w:rsidRDefault="00000000">
      <w:pPr>
        <w:spacing w:after="0" w:line="259" w:lineRule="auto"/>
        <w:ind w:left="0" w:right="0" w:firstLine="0"/>
      </w:pPr>
      <w:r>
        <w:t xml:space="preserve"> </w:t>
      </w:r>
    </w:p>
    <w:p w14:paraId="10940EFC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2025:</w:t>
      </w:r>
      <w:r>
        <w:t xml:space="preserve"> 4,931 enrollments (projected/partial year) </w:t>
      </w:r>
    </w:p>
    <w:p w14:paraId="1B0F94BE" w14:textId="77777777" w:rsidR="00760230" w:rsidRDefault="00000000">
      <w:pPr>
        <w:spacing w:after="187" w:line="259" w:lineRule="auto"/>
        <w:ind w:right="0"/>
      </w:pPr>
      <w:r>
        <w:rPr>
          <w:b/>
        </w:rPr>
        <w:t xml:space="preserve">Sales Performance by Country </w:t>
      </w:r>
    </w:p>
    <w:p w14:paraId="3FCA0388" w14:textId="77777777" w:rsidR="00760230" w:rsidRDefault="00000000">
      <w:pPr>
        <w:ind w:right="0"/>
      </w:pPr>
      <w:r>
        <w:t xml:space="preserve">Major markets by sales volume displayed using Tableau's packed bubble chart visualization: </w:t>
      </w:r>
    </w:p>
    <w:p w14:paraId="43F64F53" w14:textId="77777777" w:rsidR="00760230" w:rsidRDefault="00000000">
      <w:pPr>
        <w:numPr>
          <w:ilvl w:val="0"/>
          <w:numId w:val="7"/>
        </w:numPr>
        <w:ind w:right="0" w:firstLine="0"/>
      </w:pPr>
      <w:r>
        <w:rPr>
          <w:b/>
        </w:rPr>
        <w:t>United States:</w:t>
      </w:r>
      <w:r>
        <w:t xml:space="preserve"> Largest market (significantly ahead of others) </w:t>
      </w:r>
    </w:p>
    <w:p w14:paraId="5B4DF19A" w14:textId="77777777" w:rsidR="00760230" w:rsidRDefault="00000000">
      <w:pPr>
        <w:numPr>
          <w:ilvl w:val="0"/>
          <w:numId w:val="7"/>
        </w:numPr>
        <w:spacing w:after="157" w:line="280" w:lineRule="auto"/>
        <w:ind w:right="0" w:firstLine="0"/>
      </w:pPr>
      <w:r>
        <w:t xml:space="preserve">Other notable markets: China, United Kingdom, Indonesia, Russia, Brazil, Canada, France, Poland (represented as different sized bubbles based on sales volume) </w:t>
      </w:r>
    </w:p>
    <w:p w14:paraId="583A819A" w14:textId="77777777" w:rsidR="00760230" w:rsidRDefault="00000000">
      <w:pPr>
        <w:ind w:right="0"/>
      </w:pPr>
      <w:r>
        <w:t xml:space="preserve">This comprehensive Tableau dashboard consolidates key metrics from across the platform into a single executive overview. The use of Tableau provides enhanced data visualization capabilities including interactive filtering, hovering for additional information, and dynamic updates that aren't available in the standard </w:t>
      </w:r>
      <w:proofErr w:type="spellStart"/>
      <w:r>
        <w:t>Studify</w:t>
      </w:r>
      <w:proofErr w:type="spellEnd"/>
      <w:r>
        <w:t xml:space="preserve"> dashboards. This makes it particularly suitable for executive-level strategic analysis and decision-making. </w:t>
      </w:r>
    </w:p>
    <w:sectPr w:rsidR="00760230">
      <w:headerReference w:type="even" r:id="rId7"/>
      <w:headerReference w:type="default" r:id="rId8"/>
      <w:headerReference w:type="first" r:id="rId9"/>
      <w:pgSz w:w="12240" w:h="15840"/>
      <w:pgMar w:top="2012" w:right="1504" w:bottom="1514" w:left="1440" w:header="2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96B05" w14:textId="77777777" w:rsidR="00D170E1" w:rsidRDefault="00D170E1">
      <w:pPr>
        <w:spacing w:after="0" w:line="240" w:lineRule="auto"/>
      </w:pPr>
      <w:r>
        <w:separator/>
      </w:r>
    </w:p>
  </w:endnote>
  <w:endnote w:type="continuationSeparator" w:id="0">
    <w:p w14:paraId="63D87DF2" w14:textId="77777777" w:rsidR="00D170E1" w:rsidRDefault="00D1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54EFA" w14:textId="77777777" w:rsidR="00D170E1" w:rsidRDefault="00D170E1">
      <w:pPr>
        <w:spacing w:after="0" w:line="240" w:lineRule="auto"/>
      </w:pPr>
      <w:r>
        <w:separator/>
      </w:r>
    </w:p>
  </w:footnote>
  <w:footnote w:type="continuationSeparator" w:id="0">
    <w:p w14:paraId="36F9DAC1" w14:textId="77777777" w:rsidR="00D170E1" w:rsidRDefault="00D17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515EA" w14:textId="77777777" w:rsidR="00760230" w:rsidRDefault="00000000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1A57196" wp14:editId="130348FC">
          <wp:simplePos x="0" y="0"/>
          <wp:positionH relativeFrom="page">
            <wp:posOffset>2986151</wp:posOffset>
          </wp:positionH>
          <wp:positionV relativeFrom="page">
            <wp:posOffset>142875</wp:posOffset>
          </wp:positionV>
          <wp:extent cx="1800225" cy="113347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022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7E67524" w14:textId="77777777" w:rsidR="0076023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139596" wp14:editId="0A5E4B2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264" name="Group 9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73A62" w14:textId="77777777" w:rsidR="00760230" w:rsidRDefault="00000000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E75B85C" wp14:editId="652E9AD3">
          <wp:simplePos x="0" y="0"/>
          <wp:positionH relativeFrom="page">
            <wp:posOffset>2986151</wp:posOffset>
          </wp:positionH>
          <wp:positionV relativeFrom="page">
            <wp:posOffset>142875</wp:posOffset>
          </wp:positionV>
          <wp:extent cx="1800225" cy="1133475"/>
          <wp:effectExtent l="0" t="0" r="0" b="0"/>
          <wp:wrapSquare wrapText="bothSides"/>
          <wp:docPr id="986468111" name="Picture 986468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022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03779167" w14:textId="77777777" w:rsidR="0076023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7F66C84" wp14:editId="53ADD1F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255" name="Group 9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5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83F" w14:textId="77777777" w:rsidR="00760230" w:rsidRDefault="00000000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E5C5ADA" wp14:editId="48163589">
          <wp:simplePos x="0" y="0"/>
          <wp:positionH relativeFrom="page">
            <wp:posOffset>2986151</wp:posOffset>
          </wp:positionH>
          <wp:positionV relativeFrom="page">
            <wp:posOffset>142875</wp:posOffset>
          </wp:positionV>
          <wp:extent cx="1800225" cy="1133475"/>
          <wp:effectExtent l="0" t="0" r="0" b="0"/>
          <wp:wrapSquare wrapText="bothSides"/>
          <wp:docPr id="2005876026" name="Picture 20058760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022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092491A4" w14:textId="77777777" w:rsidR="0076023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710A888" wp14:editId="751E22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246" name="Group 9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6905"/>
    <w:multiLevelType w:val="hybridMultilevel"/>
    <w:tmpl w:val="6B3C4332"/>
    <w:lvl w:ilvl="0" w:tplc="416ACBF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B0E4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5E4D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103B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AC6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7037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AA77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7E2D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F88D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E0E44"/>
    <w:multiLevelType w:val="hybridMultilevel"/>
    <w:tmpl w:val="D63C7188"/>
    <w:lvl w:ilvl="0" w:tplc="CD3AE56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CEFA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4A55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6808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16CD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B816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5440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FE3B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98D5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013C8"/>
    <w:multiLevelType w:val="hybridMultilevel"/>
    <w:tmpl w:val="1574642A"/>
    <w:lvl w:ilvl="0" w:tplc="1F6CFB1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A82F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DCC3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722A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40B0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2038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FA04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DC37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E0B5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AE76F8"/>
    <w:multiLevelType w:val="hybridMultilevel"/>
    <w:tmpl w:val="AF50172A"/>
    <w:lvl w:ilvl="0" w:tplc="1E6EBE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6AC7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44E6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90BB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A2CA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7630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0AE9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2EF4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C2AA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A87E92"/>
    <w:multiLevelType w:val="hybridMultilevel"/>
    <w:tmpl w:val="DC7C2C4C"/>
    <w:lvl w:ilvl="0" w:tplc="E6780C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0CB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0C5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9812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A8A3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F2F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4EA1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AC7E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3C26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F32ED0"/>
    <w:multiLevelType w:val="hybridMultilevel"/>
    <w:tmpl w:val="49746020"/>
    <w:lvl w:ilvl="0" w:tplc="40A68E8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00B9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A9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683A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A4E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CB3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C0A1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7A5D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EACB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4A60EC"/>
    <w:multiLevelType w:val="hybridMultilevel"/>
    <w:tmpl w:val="2E4455B8"/>
    <w:lvl w:ilvl="0" w:tplc="CE1808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46E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4091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DA42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1E54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1ACE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A3D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6AD6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CC77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4400606">
    <w:abstractNumId w:val="0"/>
  </w:num>
  <w:num w:numId="2" w16cid:durableId="144322639">
    <w:abstractNumId w:val="1"/>
  </w:num>
  <w:num w:numId="3" w16cid:durableId="1960451671">
    <w:abstractNumId w:val="6"/>
  </w:num>
  <w:num w:numId="4" w16cid:durableId="2011057099">
    <w:abstractNumId w:val="3"/>
  </w:num>
  <w:num w:numId="5" w16cid:durableId="1481144942">
    <w:abstractNumId w:val="2"/>
  </w:num>
  <w:num w:numId="6" w16cid:durableId="538443972">
    <w:abstractNumId w:val="4"/>
  </w:num>
  <w:num w:numId="7" w16cid:durableId="47188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230"/>
    <w:rsid w:val="001976CC"/>
    <w:rsid w:val="007305EA"/>
    <w:rsid w:val="00760230"/>
    <w:rsid w:val="0081389A"/>
    <w:rsid w:val="00D1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08AB"/>
  <w15:docId w15:val="{BA8A3D0D-3F94-4836-8699-B14FBE14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69" w:lineRule="auto"/>
      <w:ind w:left="10" w:right="62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 w:line="259" w:lineRule="auto"/>
      <w:ind w:left="10" w:hanging="10"/>
      <w:outlineLvl w:val="0"/>
    </w:pPr>
    <w:rPr>
      <w:rFonts w:ascii="Calibri" w:eastAsia="Calibri" w:hAnsi="Calibri" w:cs="Calibri"/>
      <w:b/>
      <w:color w:val="C04F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C04F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cp:lastModifiedBy>Mohammed Alsamadoni</cp:lastModifiedBy>
  <cp:revision>2</cp:revision>
  <dcterms:created xsi:type="dcterms:W3CDTF">2025-04-29T23:54:00Z</dcterms:created>
  <dcterms:modified xsi:type="dcterms:W3CDTF">2025-04-29T23:54:00Z</dcterms:modified>
</cp:coreProperties>
</file>