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3. Results</w:t>
      </w:r>
    </w:p>
    <w:p>
      <w:pPr>
        <w:pStyle w:val="Heading2"/>
      </w:pPr>
      <w:r>
        <w:rPr/>
        <w:t xml:space="preserve">3.1 Field LAI and Sentinel-2 predictor data</w:t>
      </w:r>
    </w:p>
    <w:p>
      <w:r>
        <w:rPr/>
        <w:t xml:space="preserve">Plot-level mean field LAI was available for 59 plots in Rema-Kalenga Wildlife Sanctuary (source domain) and 40 plots in Khadimnagar National Park (KNP; target domain). In Rema-Kalenga, LAI ranged from 0.33 to 4.29 (mean 2.17). A random 80/20 split produced 47 training and 12 held-out test plots with the same mean LAI (2.17) and ranges of 0.35–4.29 and 0.33–3.62, respectively. LAI in KNP spanned a wider range (0.29–5.41; mean 2.44, SD 1.22), and three KNP plots (LAI = 4.71, 4.92 and 5.41) exceeded the maximum LAI of the Rema-Kalenga training set (4.29).</w:t>
      </w:r>
    </w:p>
    <w:p>
      <w:r>
        <w:rPr/>
        <w:t xml:space="preserve">Rema-Kalenga predictors were derived from 15 Sentinel-2 surface-reflectance scenes acquired between 1 January and 27 March 2021 (cloud cover 0–17.2%; 14 of 15 scenes ≤ 3.9%). KNP predictors were derived from 11 scenes acquired between 1 January and 22 March 2022 (cloud cover 0–23.7%). Cloud Score+-masked median composites provided 15 candidate predictors per plot (ten spectral bands and five vegetation indices), averaged over each 15 m × 15 m plot.</w:t>
      </w:r>
    </w:p>
    <w:p>
      <w:pPr>
        <w:pStyle w:val="Heading2"/>
      </w:pPr>
      <w:r>
        <w:rPr/>
        <w:t xml:space="preserve">3.2 Hyperparameter tuning and predictor selection</w:t>
      </w:r>
    </w:p>
    <w:p>
      <w:r>
        <w:rPr/>
        <w:t xml:space="preserve">Hyperparameters were tuned by leave-one-out cross-validation (LOOCV) on the 47 training plots (RF: 108 combinations; XGBoost: 108; KNN: 32; SVR: 48 specified, 36 evaluated after excluding redundant linear-kernel/auto-gamma pairs). With all 15 predictors, the best LOOCV RMSE was 0.762 for RF, 0.770 for SVR, 0.778 for KNN and 0.821 for XGBoost (Table 1). Tuning had a limited effect: within each model, the five best configurations differed by at most 0.021 LAI units in LOOCV RMSE. All five best SVR configurations used the linear kernel, and the selected XGBoost configuration lay at the lower edge of the search grid for the number of trees (100), tree depth (2) and learning rate (0.01).</w:t>
      </w:r>
    </w:p>
    <w:p>
      <w:r>
        <w:rPr/>
        <w:t xml:space="preserve">Recursive feature elimination (RFE), run on the training plots only, lowered the LOOCV RMSE of every model relative to its 15-predictor baseline, by 0.032 (XGBoost) to 0.061 (SVR) LAI units (Table 1; Fig. 2). The optimal subsets contained 7 (RF), 4 (KNN), 13 (SVR) and 3 (XGBoost) predictors. The error curves were shallow: across the full elimination sequence, LOOCV RMSE varied between 0.719 and 0.764 for RF, 0.738 and 0.796 for KNN, and 0.789 and 0.821 for XGBoost, and less smoothly between 0.709 and 0.891 for SVR. The stopping rule (an RMSE increase of &gt;0.15) was never triggered; all four runs ended at the three-predictor minimum, and for XGBoost the optimum coincided with that minimum.</w:t>
      </w:r>
    </w:p>
    <w:p>
      <w:r>
        <w:rPr/>
        <w:t xml:space="preserve">The selected subsets differed among models (Table 1). B11 (SWIR1), NDVI and B3 (green) were retained by three of the four models, B4, B5, B6, EVI, GNDVI, MSAVI and SAVI by two, and no predictor was retained by all four. B7 was not retained by any model.</w:t>
      </w:r>
    </w:p>
    <w:p>
      <w:r>
        <w:rPr>
          <w:b/>
        </w:rPr>
        <w:t xml:space="preserve">Table 1.</w:t>
      </w:r>
      <w:r>
        <w:rPr/>
        <w:t xml:space="preserve"> Tuned hyperparameters, LOOCV RMSE before and after recursive feature elimination (RFE), and selected predictors (Rema-Kalenga training set, n = 47).</w:t>
      </w:r>
    </w:p>
    <w:tbl>
      <w:tblPr>
        <w:tblW w:w="5000" w:type="pct"/>
        <w:jc w:val="center"/>
        <w:tblBorders>
          <w:top w:val="single" w:sz="8" w:space="0" w:color="000000"/>
          <w:bottom w:val="single" w:sz="8" w:space="0" w:color="000000"/>
          <w:insideH w:val="single" w:sz="2" w:space="0" w:color="BBBBBB"/>
        </w:tblBorders>
        <w:tblCellMar>
          <w:left w:w="80" w:type="dxa"/>
          <w:right w:w="80" w:type="dxa"/>
        </w:tblCellMar>
      </w:tblPr>
      <w:tr>
        <w:trPr>
          <w:tblHeader/>
        </w:trPr>
        <w:tc>
          <w:tcPr>
            <w:tcW w:w="0" w:type="auto"/>
            <w:tcBorders>
              <w:bottom w:val="single" w:sz="6" w:space="0" w:color="000000"/>
            </w:tcBorders>
          </w:tcPr>
          <w:p>
            <w:pPr>
              <w:pStyle w:val="TableText"/>
            </w:pPr>
            <w:r>
              <w:rPr>
                <w:b/>
              </w:rPr>
              <w:t xml:space="preserve">Model</w:t>
            </w:r>
          </w:p>
        </w:tc>
        <w:tc>
          <w:tcPr>
            <w:tcW w:w="0" w:type="auto"/>
            <w:tcBorders>
              <w:bottom w:val="single" w:sz="6" w:space="0" w:color="000000"/>
            </w:tcBorders>
          </w:tcPr>
          <w:p>
            <w:pPr>
              <w:pStyle w:val="TableText"/>
            </w:pPr>
            <w:r>
              <w:rPr>
                <w:b/>
              </w:rPr>
              <w:t xml:space="preserve">Tuned hyperparameters</w:t>
            </w:r>
          </w:p>
        </w:tc>
        <w:tc>
          <w:tcPr>
            <w:tcW w:w="0" w:type="auto"/>
            <w:tcBorders>
              <w:bottom w:val="single" w:sz="6" w:space="0" w:color="000000"/>
            </w:tcBorders>
          </w:tcPr>
          <w:p>
            <w:pPr>
              <w:pStyle w:val="TableText"/>
            </w:pPr>
            <w:r>
              <w:rPr>
                <w:b/>
              </w:rPr>
              <w:t xml:space="preserve">LOOCV RMSE, 15 predictors</w:t>
            </w:r>
          </w:p>
        </w:tc>
        <w:tc>
          <w:tcPr>
            <w:tcW w:w="0" w:type="auto"/>
            <w:tcBorders>
              <w:bottom w:val="single" w:sz="6" w:space="0" w:color="000000"/>
            </w:tcBorders>
          </w:tcPr>
          <w:p>
            <w:pPr>
              <w:pStyle w:val="TableText"/>
            </w:pPr>
            <w:r>
              <w:rPr>
                <w:b/>
              </w:rPr>
              <w:t xml:space="preserve">Selected predictors (n)</w:t>
            </w:r>
          </w:p>
        </w:tc>
        <w:tc>
          <w:tcPr>
            <w:tcW w:w="0" w:type="auto"/>
            <w:tcBorders>
              <w:bottom w:val="single" w:sz="6" w:space="0" w:color="000000"/>
            </w:tcBorders>
          </w:tcPr>
          <w:p>
            <w:pPr>
              <w:pStyle w:val="TableText"/>
            </w:pPr>
            <w:r>
              <w:rPr>
                <w:b/>
              </w:rPr>
              <w:t xml:space="preserve">LOOCV RMSE, selected</w:t>
            </w:r>
          </w:p>
        </w:tc>
      </w:tr>
      <w:tr>
        <w:tc>
          <w:tcPr>
            <w:tcW w:w="0" w:type="auto"/>
          </w:tcPr>
          <w:p>
            <w:pPr>
              <w:pStyle w:val="TableText"/>
            </w:pPr>
            <w:r>
              <w:rPr/>
              <w:t xml:space="preserve">RF</w:t>
            </w:r>
          </w:p>
        </w:tc>
        <w:tc>
          <w:tcPr>
            <w:tcW w:w="0" w:type="auto"/>
          </w:tcPr>
          <w:p>
            <w:pPr>
              <w:pStyle w:val="TableText"/>
            </w:pPr>
            <w:r>
              <w:rPr/>
              <w:t xml:space="preserve">100 trees, max depth 5, min. leaf size 1, max features = √p</w:t>
            </w:r>
          </w:p>
        </w:tc>
        <w:tc>
          <w:tcPr>
            <w:tcW w:w="0" w:type="auto"/>
          </w:tcPr>
          <w:p>
            <w:pPr>
              <w:pStyle w:val="TableText"/>
            </w:pPr>
            <w:r>
              <w:rPr/>
              <w:t xml:space="preserve">0.762</w:t>
            </w:r>
          </w:p>
        </w:tc>
        <w:tc>
          <w:tcPr>
            <w:tcW w:w="0" w:type="auto"/>
          </w:tcPr>
          <w:p>
            <w:pPr>
              <w:pStyle w:val="TableText"/>
            </w:pPr>
            <w:r>
              <w:rPr/>
              <w:t xml:space="preserve">B3, B4, B5, B11, B12, NDVI, SAVI (7)</w:t>
            </w:r>
          </w:p>
        </w:tc>
        <w:tc>
          <w:tcPr>
            <w:tcW w:w="0" w:type="auto"/>
          </w:tcPr>
          <w:p>
            <w:pPr>
              <w:pStyle w:val="TableText"/>
            </w:pPr>
            <w:r>
              <w:rPr/>
              <w:t xml:space="preserve">0.719</w:t>
            </w:r>
          </w:p>
        </w:tc>
      </w:tr>
      <w:tr>
        <w:tc>
          <w:tcPr>
            <w:tcW w:w="0" w:type="auto"/>
          </w:tcPr>
          <w:p>
            <w:pPr>
              <w:pStyle w:val="TableText"/>
            </w:pPr>
            <w:r>
              <w:rPr/>
              <w:t xml:space="preserve">KNN</w:t>
            </w:r>
          </w:p>
        </w:tc>
        <w:tc>
          <w:tcPr>
            <w:tcW w:w="0" w:type="auto"/>
          </w:tcPr>
          <w:p>
            <w:pPr>
              <w:pStyle w:val="TableText"/>
            </w:pPr>
            <w:r>
              <w:rPr/>
              <w:t xml:space="preserve">k = 6, uniform weights, Manhattan distance</w:t>
            </w:r>
          </w:p>
        </w:tc>
        <w:tc>
          <w:tcPr>
            <w:tcW w:w="0" w:type="auto"/>
          </w:tcPr>
          <w:p>
            <w:pPr>
              <w:pStyle w:val="TableText"/>
            </w:pPr>
            <w:r>
              <w:rPr/>
              <w:t xml:space="preserve">0.778</w:t>
            </w:r>
          </w:p>
        </w:tc>
        <w:tc>
          <w:tcPr>
            <w:tcW w:w="0" w:type="auto"/>
          </w:tcPr>
          <w:p>
            <w:pPr>
              <w:pStyle w:val="TableText"/>
            </w:pPr>
            <w:r>
              <w:rPr/>
              <w:t xml:space="preserve">B3, B6, EVI, MSAVI (4)</w:t>
            </w:r>
          </w:p>
        </w:tc>
        <w:tc>
          <w:tcPr>
            <w:tcW w:w="0" w:type="auto"/>
          </w:tcPr>
          <w:p>
            <w:pPr>
              <w:pStyle w:val="TableText"/>
            </w:pPr>
            <w:r>
              <w:rPr/>
              <w:t xml:space="preserve">0.738</w:t>
            </w:r>
          </w:p>
        </w:tc>
      </w:tr>
      <w:tr>
        <w:tc>
          <w:tcPr>
            <w:tcW w:w="0" w:type="auto"/>
          </w:tcPr>
          <w:p>
            <w:pPr>
              <w:pStyle w:val="TableText"/>
            </w:pPr>
            <w:r>
              <w:rPr/>
              <w:t xml:space="preserve">SVR</w:t>
            </w:r>
          </w:p>
        </w:tc>
        <w:tc>
          <w:tcPr>
            <w:tcW w:w="0" w:type="auto"/>
          </w:tcPr>
          <w:p>
            <w:pPr>
              <w:pStyle w:val="TableText"/>
            </w:pPr>
            <w:r>
              <w:rPr/>
              <w:t xml:space="preserve">Linear kernel, C = 100, ε = 0.2</w:t>
            </w:r>
          </w:p>
        </w:tc>
        <w:tc>
          <w:tcPr>
            <w:tcW w:w="0" w:type="auto"/>
          </w:tcPr>
          <w:p>
            <w:pPr>
              <w:pStyle w:val="TableText"/>
            </w:pPr>
            <w:r>
              <w:rPr/>
              <w:t xml:space="preserve">0.770</w:t>
            </w:r>
          </w:p>
        </w:tc>
        <w:tc>
          <w:tcPr>
            <w:tcW w:w="0" w:type="auto"/>
          </w:tcPr>
          <w:p>
            <w:pPr>
              <w:pStyle w:val="TableText"/>
            </w:pPr>
            <w:r>
              <w:rPr/>
              <w:t xml:space="preserve">B2, B3, B4, B5, B6, B8, B8A, B11, NDVI, EVI, SAVI, GNDVI, MSAVI (13)</w:t>
            </w:r>
          </w:p>
        </w:tc>
        <w:tc>
          <w:tcPr>
            <w:tcW w:w="0" w:type="auto"/>
          </w:tcPr>
          <w:p>
            <w:pPr>
              <w:pStyle w:val="TableText"/>
            </w:pPr>
            <w:r>
              <w:rPr/>
              <w:t xml:space="preserve">0.709</w:t>
            </w:r>
          </w:p>
        </w:tc>
      </w:tr>
      <w:tr>
        <w:tc>
          <w:tcPr>
            <w:tcW w:w="0" w:type="auto"/>
          </w:tcPr>
          <w:p>
            <w:pPr>
              <w:pStyle w:val="TableText"/>
            </w:pPr>
            <w:r>
              <w:rPr/>
              <w:t xml:space="preserve">XGBoost</w:t>
            </w:r>
          </w:p>
        </w:tc>
        <w:tc>
          <w:tcPr>
            <w:tcW w:w="0" w:type="auto"/>
          </w:tcPr>
          <w:p>
            <w:pPr>
              <w:pStyle w:val="TableText"/>
            </w:pPr>
            <w:r>
              <w:rPr/>
              <w:t xml:space="preserve">100 trees, max depth 2, learning rate 0.01, subsample 1.0</w:t>
            </w:r>
          </w:p>
        </w:tc>
        <w:tc>
          <w:tcPr>
            <w:tcW w:w="0" w:type="auto"/>
          </w:tcPr>
          <w:p>
            <w:pPr>
              <w:pStyle w:val="TableText"/>
            </w:pPr>
            <w:r>
              <w:rPr/>
              <w:t xml:space="preserve">0.821</w:t>
            </w:r>
          </w:p>
        </w:tc>
        <w:tc>
          <w:tcPr>
            <w:tcW w:w="0" w:type="auto"/>
          </w:tcPr>
          <w:p>
            <w:pPr>
              <w:pStyle w:val="TableText"/>
            </w:pPr>
            <w:r>
              <w:rPr/>
              <w:t xml:space="preserve">B11, NDVI, GNDVI (3)</w:t>
            </w:r>
          </w:p>
        </w:tc>
        <w:tc>
          <w:tcPr>
            <w:tcW w:w="0" w:type="auto"/>
          </w:tcPr>
          <w:p>
            <w:pPr>
              <w:pStyle w:val="TableText"/>
            </w:pPr>
            <w:r>
              <w:rPr/>
              <w:t xml:space="preserve">0.789</w:t>
            </w:r>
          </w:p>
        </w:tc>
      </w:tr>
    </w:tbl>
    <w:p>
      <w:pPr>
        <w:pStyle w:val="TableText"/>
      </w:pPr>
    </w:p>
    <w:p>
      <w:pPr>
        <w:pStyle w:val="Heading2"/>
      </w:pPr>
      <w:r>
        <w:rPr/>
        <w:t xml:space="preserve">3.3 Model performance in Rema-Kalenga</w:t>
      </w:r>
    </w:p>
    <w:p>
      <w:r>
        <w:rPr/>
        <w:t xml:space="preserve">On the held-out test plots (n = 12), RF performed best (R² = 0.254, RMSE = 0.774, MAE = 0.577, rRMSE = 35.7%), followed by XGBoost (R² = 0.185, RMSE = 0.809, rRMSE = 37.3%; Table 2, Fig. 3). SVR and KNN had negative test R² (−0.057 and −0.159), i.e. they did not outperform a constant prediction at the test-set mean, and had the largest errors (RMSE = 0.920 and 0.964; rRMSE = 42.5% and 44.5%). Test-set bias was small for RF (+0.020), XGBoost (−0.030) and KNN (−0.057) but larger for SVR (−0.381).</w:t>
      </w:r>
    </w:p>
    <w:p>
      <w:r>
        <w:rPr/>
        <w:t xml:space="preserve">In-sample fit differed markedly among models. RF fitted the training plots closely (R² = 0.849, RMSE = 0.342) but its test R² was much lower, whereas the in-sample R² of the other models (0.434–0.556) was closer to their test performance. For all four models, test RMSE was higher than the corresponding LOOCV RMSE in Table 1 (RF 0.774 vs 0.719; XGBoost 0.809 vs 0.789; SVR 0.920 vs 0.709; KNN 0.964 vs 0.738).</w:t>
      </w:r>
    </w:p>
    <w:p>
      <w:r>
        <w:rPr/>
        <w:t xml:space="preserve">Errors were concentrated in a few plots (per-plot residuals are given in Supplementary Table S1). Plot 5 (observed LAI = 0.33, the lowest in the test set) was the largest error for every model and was overpredicted by 1.74 (RF), 1.82 (XGBoost), 1.87 (SVR) and 2.47 (KNN) LAI units. Plots 6 (LAI = 3.62) and 51 (LAI = 3.00) were underpredicted by all four models (residuals −0.86 to −1.60). SVR also produced a negative LAI prediction (−0.21) for plot 46. In a sensitivity check excluding plot 5, test RMSE was 0.614 (RF), 0.643 (XGBoost), 0.678 (KNN) and 0.778 (SVR), and R² was 0.302, 0.235, 0.149 and −0.120, respectively; the ranking of RF and XGBoost as the better models was unchanged.</w:t>
      </w:r>
    </w:p>
    <w:p>
      <w:r>
        <w:rPr>
          <w:b/>
        </w:rPr>
        <w:t xml:space="preserve">Table 2.</w:t>
      </w:r>
      <w:r>
        <w:rPr/>
        <w:t xml:space="preserve"> Model performance in Rema-Kalenga for the RFE-selected predictors. Training statistics are in-sample. Bias is the mean of (predicted − observed).</w:t>
      </w:r>
    </w:p>
    <w:tbl>
      <w:tblPr>
        <w:tblW w:w="5000" w:type="pct"/>
        <w:jc w:val="center"/>
        <w:tblBorders>
          <w:top w:val="single" w:sz="8" w:space="0" w:color="000000"/>
          <w:bottom w:val="single" w:sz="8" w:space="0" w:color="000000"/>
          <w:insideH w:val="single" w:sz="2" w:space="0" w:color="BBBBBB"/>
        </w:tblBorders>
        <w:tblCellMar>
          <w:left w:w="80" w:type="dxa"/>
          <w:right w:w="80" w:type="dxa"/>
        </w:tblCellMar>
      </w:tblPr>
      <w:tr>
        <w:trPr>
          <w:tblHeader/>
        </w:trPr>
        <w:tc>
          <w:tcPr>
            <w:tcW w:w="0" w:type="auto"/>
            <w:tcBorders>
              <w:bottom w:val="single" w:sz="6" w:space="0" w:color="000000"/>
            </w:tcBorders>
          </w:tcPr>
          <w:p>
            <w:pPr>
              <w:pStyle w:val="TableText"/>
            </w:pPr>
            <w:r>
              <w:rPr>
                <w:b/>
              </w:rPr>
              <w:t xml:space="preserve">Model</w:t>
            </w:r>
          </w:p>
        </w:tc>
        <w:tc>
          <w:tcPr>
            <w:tcW w:w="0" w:type="auto"/>
            <w:tcBorders>
              <w:bottom w:val="single" w:sz="6" w:space="0" w:color="000000"/>
            </w:tcBorders>
          </w:tcPr>
          <w:p>
            <w:pPr>
              <w:pStyle w:val="TableText"/>
            </w:pPr>
            <w:r>
              <w:rPr>
                <w:b/>
              </w:rPr>
              <w:t xml:space="preserve">Set</w:t>
            </w:r>
          </w:p>
        </w:tc>
        <w:tc>
          <w:tcPr>
            <w:tcW w:w="0" w:type="auto"/>
            <w:tcBorders>
              <w:bottom w:val="single" w:sz="6" w:space="0" w:color="000000"/>
            </w:tcBorders>
          </w:tcPr>
          <w:p>
            <w:pPr>
              <w:pStyle w:val="TableText"/>
            </w:pPr>
            <w:r>
              <w:rPr>
                <w:b/>
              </w:rPr>
              <w:t xml:space="preserve">N</w:t>
            </w:r>
          </w:p>
        </w:tc>
        <w:tc>
          <w:tcPr>
            <w:tcW w:w="0" w:type="auto"/>
            <w:tcBorders>
              <w:bottom w:val="single" w:sz="6" w:space="0" w:color="000000"/>
            </w:tcBorders>
          </w:tcPr>
          <w:p>
            <w:pPr>
              <w:pStyle w:val="TableText"/>
            </w:pPr>
            <w:r>
              <w:rPr>
                <w:b/>
              </w:rPr>
              <w:t xml:space="preserve">R²</w:t>
            </w:r>
          </w:p>
        </w:tc>
        <w:tc>
          <w:tcPr>
            <w:tcW w:w="0" w:type="auto"/>
            <w:tcBorders>
              <w:bottom w:val="single" w:sz="6" w:space="0" w:color="000000"/>
            </w:tcBorders>
          </w:tcPr>
          <w:p>
            <w:pPr>
              <w:pStyle w:val="TableText"/>
            </w:pPr>
            <w:r>
              <w:rPr>
                <w:b/>
              </w:rPr>
              <w:t xml:space="preserve">RMSE</w:t>
            </w:r>
          </w:p>
        </w:tc>
        <w:tc>
          <w:tcPr>
            <w:tcW w:w="0" w:type="auto"/>
            <w:tcBorders>
              <w:bottom w:val="single" w:sz="6" w:space="0" w:color="000000"/>
            </w:tcBorders>
          </w:tcPr>
          <w:p>
            <w:pPr>
              <w:pStyle w:val="TableText"/>
            </w:pPr>
            <w:r>
              <w:rPr>
                <w:b/>
              </w:rPr>
              <w:t xml:space="preserve">MAE</w:t>
            </w:r>
          </w:p>
        </w:tc>
        <w:tc>
          <w:tcPr>
            <w:tcW w:w="0" w:type="auto"/>
            <w:tcBorders>
              <w:bottom w:val="single" w:sz="6" w:space="0" w:color="000000"/>
            </w:tcBorders>
          </w:tcPr>
          <w:p>
            <w:pPr>
              <w:pStyle w:val="TableText"/>
            </w:pPr>
            <w:r>
              <w:rPr>
                <w:b/>
              </w:rPr>
              <w:t xml:space="preserve">rRMSE (%)</w:t>
            </w:r>
          </w:p>
        </w:tc>
        <w:tc>
          <w:tcPr>
            <w:tcW w:w="0" w:type="auto"/>
            <w:tcBorders>
              <w:bottom w:val="single" w:sz="6" w:space="0" w:color="000000"/>
            </w:tcBorders>
          </w:tcPr>
          <w:p>
            <w:pPr>
              <w:pStyle w:val="TableText"/>
            </w:pPr>
            <w:r>
              <w:rPr>
                <w:b/>
              </w:rPr>
              <w:t xml:space="preserve">Bias</w:t>
            </w:r>
          </w:p>
        </w:tc>
      </w:tr>
      <w:tr>
        <w:tc>
          <w:tcPr>
            <w:tcW w:w="0" w:type="auto"/>
          </w:tcPr>
          <w:p>
            <w:pPr>
              <w:pStyle w:val="TableText"/>
            </w:pPr>
            <w:r>
              <w:rPr/>
              <w:t xml:space="preserve">RF</w:t>
            </w:r>
          </w:p>
        </w:tc>
        <w:tc>
          <w:tcPr>
            <w:tcW w:w="0" w:type="auto"/>
          </w:tcPr>
          <w:p>
            <w:pPr>
              <w:pStyle w:val="TableText"/>
            </w:pPr>
            <w:r>
              <w:rPr/>
              <w:t xml:space="preserve">Train</w:t>
            </w:r>
          </w:p>
        </w:tc>
        <w:tc>
          <w:tcPr>
            <w:tcW w:w="0" w:type="auto"/>
          </w:tcPr>
          <w:p>
            <w:pPr>
              <w:pStyle w:val="TableText"/>
            </w:pPr>
            <w:r>
              <w:rPr/>
              <w:t xml:space="preserve">47</w:t>
            </w:r>
          </w:p>
        </w:tc>
        <w:tc>
          <w:tcPr>
            <w:tcW w:w="0" w:type="auto"/>
          </w:tcPr>
          <w:p>
            <w:pPr>
              <w:pStyle w:val="TableText"/>
            </w:pPr>
            <w:r>
              <w:rPr/>
              <w:t xml:space="preserve">0.849</w:t>
            </w:r>
          </w:p>
        </w:tc>
        <w:tc>
          <w:tcPr>
            <w:tcW w:w="0" w:type="auto"/>
          </w:tcPr>
          <w:p>
            <w:pPr>
              <w:pStyle w:val="TableText"/>
            </w:pPr>
            <w:r>
              <w:rPr/>
              <w:t xml:space="preserve">0.342</w:t>
            </w:r>
          </w:p>
        </w:tc>
        <w:tc>
          <w:tcPr>
            <w:tcW w:w="0" w:type="auto"/>
          </w:tcPr>
          <w:p>
            <w:pPr>
              <w:pStyle w:val="TableText"/>
            </w:pPr>
            <w:r>
              <w:rPr/>
              <w:t xml:space="preserve">0.268</w:t>
            </w:r>
          </w:p>
        </w:tc>
        <w:tc>
          <w:tcPr>
            <w:tcW w:w="0" w:type="auto"/>
          </w:tcPr>
          <w:p>
            <w:pPr>
              <w:pStyle w:val="TableText"/>
            </w:pPr>
            <w:r>
              <w:rPr/>
              <w:t xml:space="preserve">15.8</w:t>
            </w:r>
          </w:p>
        </w:tc>
        <w:tc>
          <w:tcPr>
            <w:tcW w:w="0" w:type="auto"/>
          </w:tcPr>
          <w:p>
            <w:pPr>
              <w:pStyle w:val="TableText"/>
            </w:pPr>
            <w:r>
              <w:rPr/>
              <w:t xml:space="preserve">−0.020</w:t>
            </w:r>
          </w:p>
        </w:tc>
      </w:tr>
      <w:tr>
        <w:tc>
          <w:tcPr>
            <w:tcW w:w="0" w:type="auto"/>
          </w:tcPr>
          <w:p>
            <w:pPr>
              <w:pStyle w:val="TableText"/>
            </w:pPr>
            <w:r>
              <w:rPr/>
              <w:t xml:space="preserve">RF</w:t>
            </w:r>
          </w:p>
        </w:tc>
        <w:tc>
          <w:tcPr>
            <w:tcW w:w="0" w:type="auto"/>
          </w:tcPr>
          <w:p>
            <w:pPr>
              <w:pStyle w:val="TableText"/>
            </w:pPr>
            <w:r>
              <w:rPr/>
              <w:t xml:space="preserve">Test</w:t>
            </w:r>
          </w:p>
        </w:tc>
        <w:tc>
          <w:tcPr>
            <w:tcW w:w="0" w:type="auto"/>
          </w:tcPr>
          <w:p>
            <w:pPr>
              <w:pStyle w:val="TableText"/>
            </w:pPr>
            <w:r>
              <w:rPr/>
              <w:t xml:space="preserve">12</w:t>
            </w:r>
          </w:p>
        </w:tc>
        <w:tc>
          <w:tcPr>
            <w:tcW w:w="0" w:type="auto"/>
          </w:tcPr>
          <w:p>
            <w:pPr>
              <w:pStyle w:val="TableText"/>
            </w:pPr>
            <w:r>
              <w:rPr/>
              <w:t xml:space="preserve">0.254</w:t>
            </w:r>
          </w:p>
        </w:tc>
        <w:tc>
          <w:tcPr>
            <w:tcW w:w="0" w:type="auto"/>
          </w:tcPr>
          <w:p>
            <w:pPr>
              <w:pStyle w:val="TableText"/>
            </w:pPr>
            <w:r>
              <w:rPr/>
              <w:t xml:space="preserve">0.774</w:t>
            </w:r>
          </w:p>
        </w:tc>
        <w:tc>
          <w:tcPr>
            <w:tcW w:w="0" w:type="auto"/>
          </w:tcPr>
          <w:p>
            <w:pPr>
              <w:pStyle w:val="TableText"/>
            </w:pPr>
            <w:r>
              <w:rPr/>
              <w:t xml:space="preserve">0.577</w:t>
            </w:r>
          </w:p>
        </w:tc>
        <w:tc>
          <w:tcPr>
            <w:tcW w:w="0" w:type="auto"/>
          </w:tcPr>
          <w:p>
            <w:pPr>
              <w:pStyle w:val="TableText"/>
            </w:pPr>
            <w:r>
              <w:rPr/>
              <w:t xml:space="preserve">35.7</w:t>
            </w:r>
          </w:p>
        </w:tc>
        <w:tc>
          <w:tcPr>
            <w:tcW w:w="0" w:type="auto"/>
          </w:tcPr>
          <w:p>
            <w:pPr>
              <w:pStyle w:val="TableText"/>
            </w:pPr>
            <w:r>
              <w:rPr/>
              <w:t xml:space="preserve">0.020</w:t>
            </w:r>
          </w:p>
        </w:tc>
      </w:tr>
      <w:tr>
        <w:tc>
          <w:tcPr>
            <w:tcW w:w="0" w:type="auto"/>
          </w:tcPr>
          <w:p>
            <w:pPr>
              <w:pStyle w:val="TableText"/>
            </w:pPr>
            <w:r>
              <w:rPr/>
              <w:t xml:space="preserve">KNN</w:t>
            </w:r>
          </w:p>
        </w:tc>
        <w:tc>
          <w:tcPr>
            <w:tcW w:w="0" w:type="auto"/>
          </w:tcPr>
          <w:p>
            <w:pPr>
              <w:pStyle w:val="TableText"/>
            </w:pPr>
            <w:r>
              <w:rPr/>
              <w:t xml:space="preserve">Train</w:t>
            </w:r>
          </w:p>
        </w:tc>
        <w:tc>
          <w:tcPr>
            <w:tcW w:w="0" w:type="auto"/>
          </w:tcPr>
          <w:p>
            <w:pPr>
              <w:pStyle w:val="TableText"/>
            </w:pPr>
            <w:r>
              <w:rPr/>
              <w:t xml:space="preserve">47</w:t>
            </w:r>
          </w:p>
        </w:tc>
        <w:tc>
          <w:tcPr>
            <w:tcW w:w="0" w:type="auto"/>
          </w:tcPr>
          <w:p>
            <w:pPr>
              <w:pStyle w:val="TableText"/>
            </w:pPr>
            <w:r>
              <w:rPr/>
              <w:t xml:space="preserve">0.519</w:t>
            </w:r>
          </w:p>
        </w:tc>
        <w:tc>
          <w:tcPr>
            <w:tcW w:w="0" w:type="auto"/>
          </w:tcPr>
          <w:p>
            <w:pPr>
              <w:pStyle w:val="TableText"/>
            </w:pPr>
            <w:r>
              <w:rPr/>
              <w:t xml:space="preserve">0.610</w:t>
            </w:r>
          </w:p>
        </w:tc>
        <w:tc>
          <w:tcPr>
            <w:tcW w:w="0" w:type="auto"/>
          </w:tcPr>
          <w:p>
            <w:pPr>
              <w:pStyle w:val="TableText"/>
            </w:pPr>
            <w:r>
              <w:rPr/>
              <w:t xml:space="preserve">0.489</w:t>
            </w:r>
          </w:p>
        </w:tc>
        <w:tc>
          <w:tcPr>
            <w:tcW w:w="0" w:type="auto"/>
          </w:tcPr>
          <w:p>
            <w:pPr>
              <w:pStyle w:val="TableText"/>
            </w:pPr>
            <w:r>
              <w:rPr/>
              <w:t xml:space="preserve">28.2</w:t>
            </w:r>
          </w:p>
        </w:tc>
        <w:tc>
          <w:tcPr>
            <w:tcW w:w="0" w:type="auto"/>
          </w:tcPr>
          <w:p>
            <w:pPr>
              <w:pStyle w:val="TableText"/>
            </w:pPr>
            <w:r>
              <w:rPr/>
              <w:t xml:space="preserve">0.040</w:t>
            </w:r>
          </w:p>
        </w:tc>
      </w:tr>
      <w:tr>
        <w:tc>
          <w:tcPr>
            <w:tcW w:w="0" w:type="auto"/>
          </w:tcPr>
          <w:p>
            <w:pPr>
              <w:pStyle w:val="TableText"/>
            </w:pPr>
            <w:r>
              <w:rPr/>
              <w:t xml:space="preserve">KNN</w:t>
            </w:r>
          </w:p>
        </w:tc>
        <w:tc>
          <w:tcPr>
            <w:tcW w:w="0" w:type="auto"/>
          </w:tcPr>
          <w:p>
            <w:pPr>
              <w:pStyle w:val="TableText"/>
            </w:pPr>
            <w:r>
              <w:rPr/>
              <w:t xml:space="preserve">Test</w:t>
            </w:r>
          </w:p>
        </w:tc>
        <w:tc>
          <w:tcPr>
            <w:tcW w:w="0" w:type="auto"/>
          </w:tcPr>
          <w:p>
            <w:pPr>
              <w:pStyle w:val="TableText"/>
            </w:pPr>
            <w:r>
              <w:rPr/>
              <w:t xml:space="preserve">12</w:t>
            </w:r>
          </w:p>
        </w:tc>
        <w:tc>
          <w:tcPr>
            <w:tcW w:w="0" w:type="auto"/>
          </w:tcPr>
          <w:p>
            <w:pPr>
              <w:pStyle w:val="TableText"/>
            </w:pPr>
            <w:r>
              <w:rPr/>
              <w:t xml:space="preserve">−0.159</w:t>
            </w:r>
          </w:p>
        </w:tc>
        <w:tc>
          <w:tcPr>
            <w:tcW w:w="0" w:type="auto"/>
          </w:tcPr>
          <w:p>
            <w:pPr>
              <w:pStyle w:val="TableText"/>
            </w:pPr>
            <w:r>
              <w:rPr/>
              <w:t xml:space="preserve">0.964</w:t>
            </w:r>
          </w:p>
        </w:tc>
        <w:tc>
          <w:tcPr>
            <w:tcW w:w="0" w:type="auto"/>
          </w:tcPr>
          <w:p>
            <w:pPr>
              <w:pStyle w:val="TableText"/>
            </w:pPr>
            <w:r>
              <w:rPr/>
              <w:t xml:space="preserve">0.684</w:t>
            </w:r>
          </w:p>
        </w:tc>
        <w:tc>
          <w:tcPr>
            <w:tcW w:w="0" w:type="auto"/>
          </w:tcPr>
          <w:p>
            <w:pPr>
              <w:pStyle w:val="TableText"/>
            </w:pPr>
            <w:r>
              <w:rPr/>
              <w:t xml:space="preserve">44.5</w:t>
            </w:r>
          </w:p>
        </w:tc>
        <w:tc>
          <w:tcPr>
            <w:tcW w:w="0" w:type="auto"/>
          </w:tcPr>
          <w:p>
            <w:pPr>
              <w:pStyle w:val="TableText"/>
            </w:pPr>
            <w:r>
              <w:rPr/>
              <w:t xml:space="preserve">−0.057</w:t>
            </w:r>
          </w:p>
        </w:tc>
      </w:tr>
      <w:tr>
        <w:tc>
          <w:tcPr>
            <w:tcW w:w="0" w:type="auto"/>
          </w:tcPr>
          <w:p>
            <w:pPr>
              <w:pStyle w:val="TableText"/>
            </w:pPr>
            <w:r>
              <w:rPr/>
              <w:t xml:space="preserve">SVR</w:t>
            </w:r>
          </w:p>
        </w:tc>
        <w:tc>
          <w:tcPr>
            <w:tcW w:w="0" w:type="auto"/>
          </w:tcPr>
          <w:p>
            <w:pPr>
              <w:pStyle w:val="TableText"/>
            </w:pPr>
            <w:r>
              <w:rPr/>
              <w:t xml:space="preserve">Train</w:t>
            </w:r>
          </w:p>
        </w:tc>
        <w:tc>
          <w:tcPr>
            <w:tcW w:w="0" w:type="auto"/>
          </w:tcPr>
          <w:p>
            <w:pPr>
              <w:pStyle w:val="TableText"/>
            </w:pPr>
            <w:r>
              <w:rPr/>
              <w:t xml:space="preserve">47</w:t>
            </w:r>
          </w:p>
        </w:tc>
        <w:tc>
          <w:tcPr>
            <w:tcW w:w="0" w:type="auto"/>
          </w:tcPr>
          <w:p>
            <w:pPr>
              <w:pStyle w:val="TableText"/>
            </w:pPr>
            <w:r>
              <w:rPr/>
              <w:t xml:space="preserve">0.556</w:t>
            </w:r>
          </w:p>
        </w:tc>
        <w:tc>
          <w:tcPr>
            <w:tcW w:w="0" w:type="auto"/>
          </w:tcPr>
          <w:p>
            <w:pPr>
              <w:pStyle w:val="TableText"/>
            </w:pPr>
            <w:r>
              <w:rPr/>
              <w:t xml:space="preserve">0.586</w:t>
            </w:r>
          </w:p>
        </w:tc>
        <w:tc>
          <w:tcPr>
            <w:tcW w:w="0" w:type="auto"/>
          </w:tcPr>
          <w:p>
            <w:pPr>
              <w:pStyle w:val="TableText"/>
            </w:pPr>
            <w:r>
              <w:rPr/>
              <w:t xml:space="preserve">0.435</w:t>
            </w:r>
          </w:p>
        </w:tc>
        <w:tc>
          <w:tcPr>
            <w:tcW w:w="0" w:type="auto"/>
          </w:tcPr>
          <w:p>
            <w:pPr>
              <w:pStyle w:val="TableText"/>
            </w:pPr>
            <w:r>
              <w:rPr/>
              <w:t xml:space="preserve">27.0</w:t>
            </w:r>
          </w:p>
        </w:tc>
        <w:tc>
          <w:tcPr>
            <w:tcW w:w="0" w:type="auto"/>
          </w:tcPr>
          <w:p>
            <w:pPr>
              <w:pStyle w:val="TableText"/>
            </w:pPr>
            <w:r>
              <w:rPr/>
              <w:t xml:space="preserve">−0.022</w:t>
            </w:r>
          </w:p>
        </w:tc>
      </w:tr>
      <w:tr>
        <w:tc>
          <w:tcPr>
            <w:tcW w:w="0" w:type="auto"/>
          </w:tcPr>
          <w:p>
            <w:pPr>
              <w:pStyle w:val="TableText"/>
            </w:pPr>
            <w:r>
              <w:rPr/>
              <w:t xml:space="preserve">SVR</w:t>
            </w:r>
          </w:p>
        </w:tc>
        <w:tc>
          <w:tcPr>
            <w:tcW w:w="0" w:type="auto"/>
          </w:tcPr>
          <w:p>
            <w:pPr>
              <w:pStyle w:val="TableText"/>
            </w:pPr>
            <w:r>
              <w:rPr/>
              <w:t xml:space="preserve">Test</w:t>
            </w:r>
          </w:p>
        </w:tc>
        <w:tc>
          <w:tcPr>
            <w:tcW w:w="0" w:type="auto"/>
          </w:tcPr>
          <w:p>
            <w:pPr>
              <w:pStyle w:val="TableText"/>
            </w:pPr>
            <w:r>
              <w:rPr/>
              <w:t xml:space="preserve">12</w:t>
            </w:r>
          </w:p>
        </w:tc>
        <w:tc>
          <w:tcPr>
            <w:tcW w:w="0" w:type="auto"/>
          </w:tcPr>
          <w:p>
            <w:pPr>
              <w:pStyle w:val="TableText"/>
            </w:pPr>
            <w:r>
              <w:rPr/>
              <w:t xml:space="preserve">−0.057</w:t>
            </w:r>
          </w:p>
        </w:tc>
        <w:tc>
          <w:tcPr>
            <w:tcW w:w="0" w:type="auto"/>
          </w:tcPr>
          <w:p>
            <w:pPr>
              <w:pStyle w:val="TableText"/>
            </w:pPr>
            <w:r>
              <w:rPr/>
              <w:t xml:space="preserve">0.920</w:t>
            </w:r>
          </w:p>
        </w:tc>
        <w:tc>
          <w:tcPr>
            <w:tcW w:w="0" w:type="auto"/>
          </w:tcPr>
          <w:p>
            <w:pPr>
              <w:pStyle w:val="TableText"/>
            </w:pPr>
            <w:r>
              <w:rPr/>
              <w:t xml:space="preserve">0.694</w:t>
            </w:r>
          </w:p>
        </w:tc>
        <w:tc>
          <w:tcPr>
            <w:tcW w:w="0" w:type="auto"/>
          </w:tcPr>
          <w:p>
            <w:pPr>
              <w:pStyle w:val="TableText"/>
            </w:pPr>
            <w:r>
              <w:rPr/>
              <w:t xml:space="preserve">42.5</w:t>
            </w:r>
          </w:p>
        </w:tc>
        <w:tc>
          <w:tcPr>
            <w:tcW w:w="0" w:type="auto"/>
          </w:tcPr>
          <w:p>
            <w:pPr>
              <w:pStyle w:val="TableText"/>
            </w:pPr>
            <w:r>
              <w:rPr/>
              <w:t xml:space="preserve">−0.381</w:t>
            </w:r>
          </w:p>
        </w:tc>
      </w:tr>
      <w:tr>
        <w:tc>
          <w:tcPr>
            <w:tcW w:w="0" w:type="auto"/>
          </w:tcPr>
          <w:p>
            <w:pPr>
              <w:pStyle w:val="TableText"/>
            </w:pPr>
            <w:r>
              <w:rPr/>
              <w:t xml:space="preserve">XGBoost</w:t>
            </w:r>
          </w:p>
        </w:tc>
        <w:tc>
          <w:tcPr>
            <w:tcW w:w="0" w:type="auto"/>
          </w:tcPr>
          <w:p>
            <w:pPr>
              <w:pStyle w:val="TableText"/>
            </w:pPr>
            <w:r>
              <w:rPr/>
              <w:t xml:space="preserve">Train</w:t>
            </w:r>
          </w:p>
        </w:tc>
        <w:tc>
          <w:tcPr>
            <w:tcW w:w="0" w:type="auto"/>
          </w:tcPr>
          <w:p>
            <w:pPr>
              <w:pStyle w:val="TableText"/>
            </w:pPr>
            <w:r>
              <w:rPr/>
              <w:t xml:space="preserve">47</w:t>
            </w:r>
          </w:p>
        </w:tc>
        <w:tc>
          <w:tcPr>
            <w:tcW w:w="0" w:type="auto"/>
          </w:tcPr>
          <w:p>
            <w:pPr>
              <w:pStyle w:val="TableText"/>
            </w:pPr>
            <w:r>
              <w:rPr/>
              <w:t xml:space="preserve">0.434</w:t>
            </w:r>
          </w:p>
        </w:tc>
        <w:tc>
          <w:tcPr>
            <w:tcW w:w="0" w:type="auto"/>
          </w:tcPr>
          <w:p>
            <w:pPr>
              <w:pStyle w:val="TableText"/>
            </w:pPr>
            <w:r>
              <w:rPr/>
              <w:t xml:space="preserve">0.662</w:t>
            </w:r>
          </w:p>
        </w:tc>
        <w:tc>
          <w:tcPr>
            <w:tcW w:w="0" w:type="auto"/>
          </w:tcPr>
          <w:p>
            <w:pPr>
              <w:pStyle w:val="TableText"/>
            </w:pPr>
            <w:r>
              <w:rPr/>
              <w:t xml:space="preserve">0.523</w:t>
            </w:r>
          </w:p>
        </w:tc>
        <w:tc>
          <w:tcPr>
            <w:tcW w:w="0" w:type="auto"/>
          </w:tcPr>
          <w:p>
            <w:pPr>
              <w:pStyle w:val="TableText"/>
            </w:pPr>
            <w:r>
              <w:rPr/>
              <w:t xml:space="preserve">30.6</w:t>
            </w:r>
          </w:p>
        </w:tc>
        <w:tc>
          <w:tcPr>
            <w:tcW w:w="0" w:type="auto"/>
          </w:tcPr>
          <w:p>
            <w:pPr>
              <w:pStyle w:val="TableText"/>
            </w:pPr>
            <w:r>
              <w:rPr/>
              <w:t xml:space="preserve">−0.006</w:t>
            </w:r>
          </w:p>
        </w:tc>
      </w:tr>
      <w:tr>
        <w:tc>
          <w:tcPr>
            <w:tcW w:w="0" w:type="auto"/>
          </w:tcPr>
          <w:p>
            <w:pPr>
              <w:pStyle w:val="TableText"/>
            </w:pPr>
            <w:r>
              <w:rPr/>
              <w:t xml:space="preserve">XGBoost</w:t>
            </w:r>
          </w:p>
        </w:tc>
        <w:tc>
          <w:tcPr>
            <w:tcW w:w="0" w:type="auto"/>
          </w:tcPr>
          <w:p>
            <w:pPr>
              <w:pStyle w:val="TableText"/>
            </w:pPr>
            <w:r>
              <w:rPr/>
              <w:t xml:space="preserve">Test</w:t>
            </w:r>
          </w:p>
        </w:tc>
        <w:tc>
          <w:tcPr>
            <w:tcW w:w="0" w:type="auto"/>
          </w:tcPr>
          <w:p>
            <w:pPr>
              <w:pStyle w:val="TableText"/>
            </w:pPr>
            <w:r>
              <w:rPr/>
              <w:t xml:space="preserve">12</w:t>
            </w:r>
          </w:p>
        </w:tc>
        <w:tc>
          <w:tcPr>
            <w:tcW w:w="0" w:type="auto"/>
          </w:tcPr>
          <w:p>
            <w:pPr>
              <w:pStyle w:val="TableText"/>
            </w:pPr>
            <w:r>
              <w:rPr/>
              <w:t xml:space="preserve">0.185</w:t>
            </w:r>
          </w:p>
        </w:tc>
        <w:tc>
          <w:tcPr>
            <w:tcW w:w="0" w:type="auto"/>
          </w:tcPr>
          <w:p>
            <w:pPr>
              <w:pStyle w:val="TableText"/>
            </w:pPr>
            <w:r>
              <w:rPr/>
              <w:t xml:space="preserve">0.809</w:t>
            </w:r>
          </w:p>
        </w:tc>
        <w:tc>
          <w:tcPr>
            <w:tcW w:w="0" w:type="auto"/>
          </w:tcPr>
          <w:p>
            <w:pPr>
              <w:pStyle w:val="TableText"/>
            </w:pPr>
            <w:r>
              <w:rPr/>
              <w:t xml:space="preserve">0.647</w:t>
            </w:r>
          </w:p>
        </w:tc>
        <w:tc>
          <w:tcPr>
            <w:tcW w:w="0" w:type="auto"/>
          </w:tcPr>
          <w:p>
            <w:pPr>
              <w:pStyle w:val="TableText"/>
            </w:pPr>
            <w:r>
              <w:rPr/>
              <w:t xml:space="preserve">37.3</w:t>
            </w:r>
          </w:p>
        </w:tc>
        <w:tc>
          <w:tcPr>
            <w:tcW w:w="0" w:type="auto"/>
          </w:tcPr>
          <w:p>
            <w:pPr>
              <w:pStyle w:val="TableText"/>
            </w:pPr>
            <w:r>
              <w:rPr/>
              <w:t xml:space="preserve">−0.030</w:t>
            </w:r>
          </w:p>
        </w:tc>
      </w:tr>
    </w:tbl>
    <w:p>
      <w:pPr>
        <w:pStyle w:val="TableText"/>
      </w:pPr>
    </w:p>
    <w:p>
      <w:pPr>
        <w:pStyle w:val="Heading2"/>
      </w:pPr>
      <w:r>
        <w:rPr/>
        <w:t xml:space="preserve">3.4 Spatial transfer to KNP</w:t>
      </w:r>
    </w:p>
    <w:p>
      <w:r>
        <w:rPr/>
        <w:t xml:space="preserve">Applying the frozen Rema-Kalenga models to the 40 KNP plots without retraining gave the ranking XGBoost &gt; RF &gt; KNN &gt; SVR by RMSE, MAE, rRMSE and R² (Table 3, Fig. 4). XGBoost achieved the lowest error (RMSE = 0.957, MAE = 0.769, rRMSE = 39.2%) and the highest R² (0.373), with a mean bias of +0.111. RF (R² = 0.177, RMSE = 1.096, rRMSE = 44.9%) and KNN (R² = 0.055, RMSE = 1.175, rRMSE = 48.1%) explained little of the variance in KNP LAI. SVR performed worst (R² = −0.900, RMSE = 1.665, rRMSE = 68.2%). All four models overpredicted KNP LAI on average (bias +0.111 to +0.841), in contrast to the near-zero biases in Rema-Kalenga (Tables 2 and 3). Pearson correlations between observed and predicted LAI were 0.711 (XGBoost), 0.672 (RF), 0.552 (SVR) and 0.381 (KNN).</w:t>
      </w:r>
    </w:p>
    <w:p>
      <w:r>
        <w:rPr/>
        <w:t xml:space="preserve">Relative to the Rema-Kalenga test set, rRMSE increased for all four models on transfer, by 1.9 percentage points for XGBoost, 3.6 for KNN, 9.2 for RF and 25.7 for SVR. Although XGBoost's RMSE was higher in KNP than in the Rema-Kalenga test set (0.957 vs 0.809), its R² was higher (0.373 vs 0.185), because the variability of observed LAI was larger in KNP (SD 1.22 vs 0.94 in the test set).</w:t>
      </w:r>
    </w:p>
    <w:p>
      <w:r>
        <w:rPr/>
        <w:t xml:space="preserve">Prediction spread differed among models. The SD of predicted LAI in KNP was 0.44 (XGBoost), 0.48 (KNN) and 0.84 (RF), all well below the observed SD of 1.22, so predictions were compressed towards the mean. KNN, RF and XGBoost overpredicted all five KNP plots with observed LAI &lt; 1.0 (residuals +0.72 to +2.16) and underpredicted all five plots with observed LAI &gt; 4.0 (residuals −0.07 to −2.50). The largest XGBoost underprediction was for the highest-LAI plot (plot 14, observed 5.41, predicted 3.05). In contrast, SVR predictions were more dispersed than the observations (SD 1.71), with several implausibly high values (plot 37: 7.54; plot 24: 7.08; plot 29: 6.34), all above the maximum observed KNP LAI (5.41) and the maximum of the training data (4.29); these three plots account for its largest errors (+4.60, +3.62 and +4.35).</w:t>
      </w:r>
    </w:p>
    <w:p>
      <w:r>
        <w:rPr>
          <w:b/>
        </w:rPr>
        <w:t xml:space="preserve">Table 3.</w:t>
      </w:r>
      <w:r>
        <w:rPr/>
        <w:t xml:space="preserve"> Spatial transfer performance of the Rema-Kalenga models applied to KNP (n = 40, no retraining). Bias is the mean of (predicted − observed); r is the Pearson correlation between observed and predicted LAI.</w:t>
      </w:r>
    </w:p>
    <w:tbl>
      <w:tblPr>
        <w:tblW w:w="5000" w:type="pct"/>
        <w:jc w:val="center"/>
        <w:tblBorders>
          <w:top w:val="single" w:sz="8" w:space="0" w:color="000000"/>
          <w:bottom w:val="single" w:sz="8" w:space="0" w:color="000000"/>
          <w:insideH w:val="single" w:sz="2" w:space="0" w:color="BBBBBB"/>
        </w:tblBorders>
        <w:tblCellMar>
          <w:left w:w="80" w:type="dxa"/>
          <w:right w:w="80" w:type="dxa"/>
        </w:tblCellMar>
      </w:tblPr>
      <w:tr>
        <w:trPr>
          <w:tblHeader/>
        </w:trPr>
        <w:tc>
          <w:tcPr>
            <w:tcW w:w="0" w:type="auto"/>
            <w:tcBorders>
              <w:bottom w:val="single" w:sz="6" w:space="0" w:color="000000"/>
            </w:tcBorders>
          </w:tcPr>
          <w:p>
            <w:pPr>
              <w:pStyle w:val="TableText"/>
            </w:pPr>
            <w:r>
              <w:rPr>
                <w:b/>
              </w:rPr>
              <w:t xml:space="preserve">Model</w:t>
            </w:r>
          </w:p>
        </w:tc>
        <w:tc>
          <w:tcPr>
            <w:tcW w:w="0" w:type="auto"/>
            <w:tcBorders>
              <w:bottom w:val="single" w:sz="6" w:space="0" w:color="000000"/>
            </w:tcBorders>
          </w:tcPr>
          <w:p>
            <w:pPr>
              <w:pStyle w:val="TableText"/>
            </w:pPr>
            <w:r>
              <w:rPr>
                <w:b/>
              </w:rPr>
              <w:t xml:space="preserve">R²</w:t>
            </w:r>
          </w:p>
        </w:tc>
        <w:tc>
          <w:tcPr>
            <w:tcW w:w="0" w:type="auto"/>
            <w:tcBorders>
              <w:bottom w:val="single" w:sz="6" w:space="0" w:color="000000"/>
            </w:tcBorders>
          </w:tcPr>
          <w:p>
            <w:pPr>
              <w:pStyle w:val="TableText"/>
            </w:pPr>
            <w:r>
              <w:rPr>
                <w:b/>
              </w:rPr>
              <w:t xml:space="preserve">RMSE</w:t>
            </w:r>
          </w:p>
        </w:tc>
        <w:tc>
          <w:tcPr>
            <w:tcW w:w="0" w:type="auto"/>
            <w:tcBorders>
              <w:bottom w:val="single" w:sz="6" w:space="0" w:color="000000"/>
            </w:tcBorders>
          </w:tcPr>
          <w:p>
            <w:pPr>
              <w:pStyle w:val="TableText"/>
            </w:pPr>
            <w:r>
              <w:rPr>
                <w:b/>
              </w:rPr>
              <w:t xml:space="preserve">MAE</w:t>
            </w:r>
          </w:p>
        </w:tc>
        <w:tc>
          <w:tcPr>
            <w:tcW w:w="0" w:type="auto"/>
            <w:tcBorders>
              <w:bottom w:val="single" w:sz="6" w:space="0" w:color="000000"/>
            </w:tcBorders>
          </w:tcPr>
          <w:p>
            <w:pPr>
              <w:pStyle w:val="TableText"/>
            </w:pPr>
            <w:r>
              <w:rPr>
                <w:b/>
              </w:rPr>
              <w:t xml:space="preserve">rRMSE (%)</w:t>
            </w:r>
          </w:p>
        </w:tc>
        <w:tc>
          <w:tcPr>
            <w:tcW w:w="0" w:type="auto"/>
            <w:tcBorders>
              <w:bottom w:val="single" w:sz="6" w:space="0" w:color="000000"/>
            </w:tcBorders>
          </w:tcPr>
          <w:p>
            <w:pPr>
              <w:pStyle w:val="TableText"/>
            </w:pPr>
            <w:r>
              <w:rPr>
                <w:b/>
              </w:rPr>
              <w:t xml:space="preserve">Bias</w:t>
            </w:r>
          </w:p>
        </w:tc>
        <w:tc>
          <w:tcPr>
            <w:tcW w:w="0" w:type="auto"/>
            <w:tcBorders>
              <w:bottom w:val="single" w:sz="6" w:space="0" w:color="000000"/>
            </w:tcBorders>
          </w:tcPr>
          <w:p>
            <w:pPr>
              <w:pStyle w:val="TableText"/>
            </w:pPr>
            <w:r>
              <w:rPr>
                <w:b/>
              </w:rPr>
              <w:t xml:space="preserve">r</w:t>
            </w:r>
          </w:p>
        </w:tc>
      </w:tr>
      <w:tr>
        <w:tc>
          <w:tcPr>
            <w:tcW w:w="0" w:type="auto"/>
          </w:tcPr>
          <w:p>
            <w:pPr>
              <w:pStyle w:val="TableText"/>
            </w:pPr>
            <w:r>
              <w:rPr/>
              <w:t xml:space="preserve">XGBoost</w:t>
            </w:r>
          </w:p>
        </w:tc>
        <w:tc>
          <w:tcPr>
            <w:tcW w:w="0" w:type="auto"/>
          </w:tcPr>
          <w:p>
            <w:pPr>
              <w:pStyle w:val="TableText"/>
            </w:pPr>
            <w:r>
              <w:rPr/>
              <w:t xml:space="preserve">0.373</w:t>
            </w:r>
          </w:p>
        </w:tc>
        <w:tc>
          <w:tcPr>
            <w:tcW w:w="0" w:type="auto"/>
          </w:tcPr>
          <w:p>
            <w:pPr>
              <w:pStyle w:val="TableText"/>
            </w:pPr>
            <w:r>
              <w:rPr/>
              <w:t xml:space="preserve">0.957</w:t>
            </w:r>
          </w:p>
        </w:tc>
        <w:tc>
          <w:tcPr>
            <w:tcW w:w="0" w:type="auto"/>
          </w:tcPr>
          <w:p>
            <w:pPr>
              <w:pStyle w:val="TableText"/>
            </w:pPr>
            <w:r>
              <w:rPr/>
              <w:t xml:space="preserve">0.769</w:t>
            </w:r>
          </w:p>
        </w:tc>
        <w:tc>
          <w:tcPr>
            <w:tcW w:w="0" w:type="auto"/>
          </w:tcPr>
          <w:p>
            <w:pPr>
              <w:pStyle w:val="TableText"/>
            </w:pPr>
            <w:r>
              <w:rPr/>
              <w:t xml:space="preserve">39.2</w:t>
            </w:r>
          </w:p>
        </w:tc>
        <w:tc>
          <w:tcPr>
            <w:tcW w:w="0" w:type="auto"/>
          </w:tcPr>
          <w:p>
            <w:pPr>
              <w:pStyle w:val="TableText"/>
            </w:pPr>
            <w:r>
              <w:rPr/>
              <w:t xml:space="preserve">0.111</w:t>
            </w:r>
          </w:p>
        </w:tc>
        <w:tc>
          <w:tcPr>
            <w:tcW w:w="0" w:type="auto"/>
          </w:tcPr>
          <w:p>
            <w:pPr>
              <w:pStyle w:val="TableText"/>
            </w:pPr>
            <w:r>
              <w:rPr/>
              <w:t xml:space="preserve">0.711</w:t>
            </w:r>
          </w:p>
        </w:tc>
      </w:tr>
      <w:tr>
        <w:tc>
          <w:tcPr>
            <w:tcW w:w="0" w:type="auto"/>
          </w:tcPr>
          <w:p>
            <w:pPr>
              <w:pStyle w:val="TableText"/>
            </w:pPr>
            <w:r>
              <w:rPr/>
              <w:t xml:space="preserve">RF</w:t>
            </w:r>
          </w:p>
        </w:tc>
        <w:tc>
          <w:tcPr>
            <w:tcW w:w="0" w:type="auto"/>
          </w:tcPr>
          <w:p>
            <w:pPr>
              <w:pStyle w:val="TableText"/>
            </w:pPr>
            <w:r>
              <w:rPr/>
              <w:t xml:space="preserve">0.177</w:t>
            </w:r>
          </w:p>
        </w:tc>
        <w:tc>
          <w:tcPr>
            <w:tcW w:w="0" w:type="auto"/>
          </w:tcPr>
          <w:p>
            <w:pPr>
              <w:pStyle w:val="TableText"/>
            </w:pPr>
            <w:r>
              <w:rPr/>
              <w:t xml:space="preserve">1.096</w:t>
            </w:r>
          </w:p>
        </w:tc>
        <w:tc>
          <w:tcPr>
            <w:tcW w:w="0" w:type="auto"/>
          </w:tcPr>
          <w:p>
            <w:pPr>
              <w:pStyle w:val="TableText"/>
            </w:pPr>
            <w:r>
              <w:rPr/>
              <w:t xml:space="preserve">0.911</w:t>
            </w:r>
          </w:p>
        </w:tc>
        <w:tc>
          <w:tcPr>
            <w:tcW w:w="0" w:type="auto"/>
          </w:tcPr>
          <w:p>
            <w:pPr>
              <w:pStyle w:val="TableText"/>
            </w:pPr>
            <w:r>
              <w:rPr/>
              <w:t xml:space="preserve">44.9</w:t>
            </w:r>
          </w:p>
        </w:tc>
        <w:tc>
          <w:tcPr>
            <w:tcW w:w="0" w:type="auto"/>
          </w:tcPr>
          <w:p>
            <w:pPr>
              <w:pStyle w:val="TableText"/>
            </w:pPr>
            <w:r>
              <w:rPr/>
              <w:t xml:space="preserve">0.632</w:t>
            </w:r>
          </w:p>
        </w:tc>
        <w:tc>
          <w:tcPr>
            <w:tcW w:w="0" w:type="auto"/>
          </w:tcPr>
          <w:p>
            <w:pPr>
              <w:pStyle w:val="TableText"/>
            </w:pPr>
            <w:r>
              <w:rPr/>
              <w:t xml:space="preserve">0.672</w:t>
            </w:r>
          </w:p>
        </w:tc>
      </w:tr>
      <w:tr>
        <w:tc>
          <w:tcPr>
            <w:tcW w:w="0" w:type="auto"/>
          </w:tcPr>
          <w:p>
            <w:pPr>
              <w:pStyle w:val="TableText"/>
            </w:pPr>
            <w:r>
              <w:rPr/>
              <w:t xml:space="preserve">KNN</w:t>
            </w:r>
          </w:p>
        </w:tc>
        <w:tc>
          <w:tcPr>
            <w:tcW w:w="0" w:type="auto"/>
          </w:tcPr>
          <w:p>
            <w:pPr>
              <w:pStyle w:val="TableText"/>
            </w:pPr>
            <w:r>
              <w:rPr/>
              <w:t xml:space="preserve">0.055</w:t>
            </w:r>
          </w:p>
        </w:tc>
        <w:tc>
          <w:tcPr>
            <w:tcW w:w="0" w:type="auto"/>
          </w:tcPr>
          <w:p>
            <w:pPr>
              <w:pStyle w:val="TableText"/>
            </w:pPr>
            <w:r>
              <w:rPr/>
              <w:t xml:space="preserve">1.175</w:t>
            </w:r>
          </w:p>
        </w:tc>
        <w:tc>
          <w:tcPr>
            <w:tcW w:w="0" w:type="auto"/>
          </w:tcPr>
          <w:p>
            <w:pPr>
              <w:pStyle w:val="TableText"/>
            </w:pPr>
            <w:r>
              <w:rPr/>
              <w:t xml:space="preserve">0.974</w:t>
            </w:r>
          </w:p>
        </w:tc>
        <w:tc>
          <w:tcPr>
            <w:tcW w:w="0" w:type="auto"/>
          </w:tcPr>
          <w:p>
            <w:pPr>
              <w:pStyle w:val="TableText"/>
            </w:pPr>
            <w:r>
              <w:rPr/>
              <w:t xml:space="preserve">48.1</w:t>
            </w:r>
          </w:p>
        </w:tc>
        <w:tc>
          <w:tcPr>
            <w:tcW w:w="0" w:type="auto"/>
          </w:tcPr>
          <w:p>
            <w:pPr>
              <w:pStyle w:val="TableText"/>
            </w:pPr>
            <w:r>
              <w:rPr/>
              <w:t xml:space="preserve">0.364</w:t>
            </w:r>
          </w:p>
        </w:tc>
        <w:tc>
          <w:tcPr>
            <w:tcW w:w="0" w:type="auto"/>
          </w:tcPr>
          <w:p>
            <w:pPr>
              <w:pStyle w:val="TableText"/>
            </w:pPr>
            <w:r>
              <w:rPr/>
              <w:t xml:space="preserve">0.381</w:t>
            </w:r>
          </w:p>
        </w:tc>
      </w:tr>
      <w:tr>
        <w:tc>
          <w:tcPr>
            <w:tcW w:w="0" w:type="auto"/>
          </w:tcPr>
          <w:p>
            <w:pPr>
              <w:pStyle w:val="TableText"/>
            </w:pPr>
            <w:r>
              <w:rPr/>
              <w:t xml:space="preserve">SVR</w:t>
            </w:r>
          </w:p>
        </w:tc>
        <w:tc>
          <w:tcPr>
            <w:tcW w:w="0" w:type="auto"/>
          </w:tcPr>
          <w:p>
            <w:pPr>
              <w:pStyle w:val="TableText"/>
            </w:pPr>
            <w:r>
              <w:rPr/>
              <w:t xml:space="preserve">−0.900</w:t>
            </w:r>
          </w:p>
        </w:tc>
        <w:tc>
          <w:tcPr>
            <w:tcW w:w="0" w:type="auto"/>
          </w:tcPr>
          <w:p>
            <w:pPr>
              <w:pStyle w:val="TableText"/>
            </w:pPr>
            <w:r>
              <w:rPr/>
              <w:t xml:space="preserve">1.665</w:t>
            </w:r>
          </w:p>
        </w:tc>
        <w:tc>
          <w:tcPr>
            <w:tcW w:w="0" w:type="auto"/>
          </w:tcPr>
          <w:p>
            <w:pPr>
              <w:pStyle w:val="TableText"/>
            </w:pPr>
            <w:r>
              <w:rPr/>
              <w:t xml:space="preserve">1.279</w:t>
            </w:r>
          </w:p>
        </w:tc>
        <w:tc>
          <w:tcPr>
            <w:tcW w:w="0" w:type="auto"/>
          </w:tcPr>
          <w:p>
            <w:pPr>
              <w:pStyle w:val="TableText"/>
            </w:pPr>
            <w:r>
              <w:rPr/>
              <w:t xml:space="preserve">68.2</w:t>
            </w:r>
          </w:p>
        </w:tc>
        <w:tc>
          <w:tcPr>
            <w:tcW w:w="0" w:type="auto"/>
          </w:tcPr>
          <w:p>
            <w:pPr>
              <w:pStyle w:val="TableText"/>
            </w:pPr>
            <w:r>
              <w:rPr/>
              <w:t xml:space="preserve">0.841</w:t>
            </w:r>
          </w:p>
        </w:tc>
        <w:tc>
          <w:tcPr>
            <w:tcW w:w="0" w:type="auto"/>
          </w:tcPr>
          <w:p>
            <w:pPr>
              <w:pStyle w:val="TableText"/>
            </w:pPr>
            <w:r>
              <w:rPr/>
              <w:t xml:space="preserve">0.552</w:t>
            </w:r>
          </w:p>
        </w:tc>
      </w:tr>
    </w:tbl>
    <w:p>
      <w:pPr>
        <w:pStyle w:val="TableText"/>
      </w:pPr>
    </w:p>
    <w:p>
      <w:pPr>
        <w:pStyle w:val="Heading2"/>
      </w:pPr>
      <w:r>
        <w:rPr/>
        <w:t xml:space="preserve">3.5 Predictor importance</w:t>
      </w:r>
    </w:p>
    <w:p>
      <w:r>
        <w:rPr/>
        <w:t xml:space="preserve">Predictor importance was model-specific (Table 4). In RF, importance was spread almost evenly across the seven retained predictors (0.09–0.16), with B4, B12, B3, NDVI and SAVI within 0.013 of each other. In XGBoost, the SWIR band B11 had the highest importance (0.445), followed by GNDVI (0.322) and NDVI (0.233). For the linear SVR, the largest absolute standardised coefficient belonged to MSAVI (11.67), followed by EVI (4.99), NDVI (4.94) and B4 (4.65); because these indices are derived from the same bands, individual coefficients should not be read as independent effects. KNN has no native importance measure, so none is reported.</w:t>
      </w:r>
    </w:p>
    <w:p>
      <w:r>
        <w:rPr>
          <w:b/>
        </w:rPr>
        <w:t xml:space="preserve">Table 4.</w:t>
      </w:r>
      <w:r>
        <w:rPr/>
        <w:t xml:space="preserve"> Predictor importance in the final models (RFE-selected predictors). RF and XGBoost: gain-/impurity-based importance (sums to 1); SVR: absolute coefficient of the linear kernel on standardised predictors.</w:t>
      </w:r>
    </w:p>
    <w:tbl>
      <w:tblPr>
        <w:tblW w:w="5000" w:type="pct"/>
        <w:jc w:val="center"/>
        <w:tblBorders>
          <w:top w:val="single" w:sz="8" w:space="0" w:color="000000"/>
          <w:bottom w:val="single" w:sz="8" w:space="0" w:color="000000"/>
          <w:insideH w:val="single" w:sz="2" w:space="0" w:color="BBBBBB"/>
        </w:tblBorders>
        <w:tblCellMar>
          <w:left w:w="80" w:type="dxa"/>
          <w:right w:w="80" w:type="dxa"/>
        </w:tblCellMar>
      </w:tblPr>
      <w:tr>
        <w:trPr>
          <w:tblHeader/>
        </w:trPr>
        <w:tc>
          <w:tcPr>
            <w:tcW w:w="0" w:type="auto"/>
            <w:tcBorders>
              <w:bottom w:val="single" w:sz="6" w:space="0" w:color="000000"/>
            </w:tcBorders>
          </w:tcPr>
          <w:p>
            <w:pPr>
              <w:pStyle w:val="TableText"/>
            </w:pPr>
            <w:r>
              <w:rPr>
                <w:b/>
              </w:rPr>
              <w:t xml:space="preserve">Model</w:t>
            </w:r>
          </w:p>
        </w:tc>
        <w:tc>
          <w:tcPr>
            <w:tcW w:w="0" w:type="auto"/>
            <w:tcBorders>
              <w:bottom w:val="single" w:sz="6" w:space="0" w:color="000000"/>
            </w:tcBorders>
          </w:tcPr>
          <w:p>
            <w:pPr>
              <w:pStyle w:val="TableText"/>
            </w:pPr>
            <w:r>
              <w:rPr>
                <w:b/>
              </w:rPr>
              <w:t xml:space="preserve">Importance (highest to lowest)</w:t>
            </w:r>
          </w:p>
        </w:tc>
      </w:tr>
      <w:tr>
        <w:tc>
          <w:tcPr>
            <w:tcW w:w="0" w:type="auto"/>
          </w:tcPr>
          <w:p>
            <w:pPr>
              <w:pStyle w:val="TableText"/>
            </w:pPr>
            <w:r>
              <w:rPr/>
              <w:t xml:space="preserve">RF</w:t>
            </w:r>
          </w:p>
        </w:tc>
        <w:tc>
          <w:tcPr>
            <w:tcW w:w="0" w:type="auto"/>
          </w:tcPr>
          <w:p>
            <w:pPr>
              <w:pStyle w:val="TableText"/>
            </w:pPr>
            <w:r>
              <w:rPr/>
              <w:t xml:space="preserve">B4 0.164, B12 0.159, B3 0.156, NDVI 0.155, SAVI 0.151, B11 0.125, B5 0.091</w:t>
            </w:r>
          </w:p>
        </w:tc>
      </w:tr>
      <w:tr>
        <w:tc>
          <w:tcPr>
            <w:tcW w:w="0" w:type="auto"/>
          </w:tcPr>
          <w:p>
            <w:pPr>
              <w:pStyle w:val="TableText"/>
            </w:pPr>
            <w:r>
              <w:rPr/>
              <w:t xml:space="preserve">XGBoost</w:t>
            </w:r>
          </w:p>
        </w:tc>
        <w:tc>
          <w:tcPr>
            <w:tcW w:w="0" w:type="auto"/>
          </w:tcPr>
          <w:p>
            <w:pPr>
              <w:pStyle w:val="TableText"/>
            </w:pPr>
            <w:r>
              <w:rPr/>
              <w:t xml:space="preserve">B11 0.445, GNDVI 0.322, NDVI 0.233</w:t>
            </w:r>
          </w:p>
        </w:tc>
      </w:tr>
      <w:tr>
        <w:tc>
          <w:tcPr>
            <w:tcW w:w="0" w:type="auto"/>
          </w:tcPr>
          <w:p>
            <w:pPr>
              <w:pStyle w:val="TableText"/>
            </w:pPr>
            <w:r>
              <w:rPr/>
              <w:t xml:space="preserve">SVR</w:t>
            </w:r>
          </w:p>
        </w:tc>
        <w:tc>
          <w:tcPr>
            <w:tcW w:w="0" w:type="auto"/>
          </w:tcPr>
          <w:p>
            <w:pPr>
              <w:pStyle w:val="TableText"/>
            </w:pPr>
            <w:r>
              <w:rPr/>
              <w:t xml:space="preserve">MSAVI 11.67, EVI 4.99, NDVI 4.94, B4 4.65, GNDVI 3.61, B3 3.51, B8 2.71, SAVI 2.45, B2 1.44, B5 1.09, B11 0.73, B6 0.71, B8A 0.42</w:t>
            </w:r>
          </w:p>
        </w:tc>
      </w:tr>
      <w:tr>
        <w:tc>
          <w:tcPr>
            <w:tcW w:w="0" w:type="auto"/>
          </w:tcPr>
          <w:p>
            <w:pPr>
              <w:pStyle w:val="TableText"/>
            </w:pPr>
            <w:r>
              <w:rPr/>
              <w:t xml:space="preserve">KNN</w:t>
            </w:r>
          </w:p>
        </w:tc>
        <w:tc>
          <w:tcPr>
            <w:tcW w:w="0" w:type="auto"/>
          </w:tcPr>
          <w:p>
            <w:pPr>
              <w:pStyle w:val="TableText"/>
            </w:pPr>
            <w:r>
              <w:rPr/>
              <w:t xml:space="preserve">Not available</w:t>
            </w:r>
          </w:p>
        </w:tc>
      </w:tr>
    </w:tbl>
    <w:p>
      <w:pPr>
        <w:pStyle w:val="TableText"/>
      </w:pPr>
    </w:p>
    <w:p>
      <w:pPr>
        <w:pStyle w:val="Heading2"/>
      </w:pPr>
      <w:r>
        <w:rPr/>
        <w:t xml:space="preserve">3.6 Summary of model comparison</w:t>
      </w:r>
    </w:p>
    <w:p>
      <w:r>
        <w:rPr/>
        <w:t xml:space="preserve">No model explained more than 40% of the variance in KNP LAI (highest R² = 0.373) or more than 26% in the Rema-Kalenga test set (highest R² = 0.254). RF was the best model in the Rema-Kalenga test set and XGBoost was the best on transfer to KNP; XGBoost had the smallest transfer bias and the smallest increase in rRMSE. The differences between RF and XGBoost in the test set (ΔRMSE = 0.035) are small relative to the limited number of test plots (n = 12), and no uncertainty intervals were estimated for the metrics. SVR was the least reliable under transfer, and KNN, which showed the weakest correlation with observed LAI (r = 0.381), was also the least accurate in the Rema-Kalenga test set.</w:t>
      </w:r>
    </w:p>
    <w:p>
      <w:r>
        <w:rPr>
          <w:i/>
        </w:rPr>
        <w:t xml:space="preserve">Placeholders: Fig. 2 = RFE curves (LOOCV RMSE vs number of predictors) for the four models; Fig. 3 = observed vs predicted LAI, Rema-Kalenga test set; Fig. 4 = observed vs predicted LAI, KNP transfer. Supplementary Table S1 = per-plot residuals (printed by each notebook). Renumber to match your manuscript.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160" w:line="360" w:lineRule="auto"/>
      </w:pPr>
    </w:pPrDefault>
  </w:docDefaults>
  <w:style w:type="paragraph" w:default="1" w:styleId="Normal">
    <w:name w:val="Normal"/>
    <w:qFormat/>
    <w:pPr>
      <w:jc w:val="both"/>
    </w:pPr>
  </w:style>
  <w:style w:type="paragraph" w:styleId="Heading1">
    <w:name w:val="heading 1"/>
    <w:basedOn w:val="Normal"/>
    <w:next w:val="Normal"/>
    <w:qFormat/>
    <w:pPr>
      <w:keepNext/>
      <w:spacing w:before="240" w:after="160"/>
      <w:jc w:val="left"/>
      <w:outlineLvl w:val="0"/>
    </w:pPr>
    <w:rPr>
      <w:b/>
      <w:sz w:val="28"/>
      <w:szCs w:val="28"/>
    </w:rPr>
  </w:style>
  <w:style w:type="paragraph" w:styleId="Heading2">
    <w:name w:val="heading 2"/>
    <w:basedOn w:val="Normal"/>
    <w:next w:val="Normal"/>
    <w:qFormat/>
    <w:pPr>
      <w:keepNext/>
      <w:spacing w:before="200" w:after="120"/>
      <w:jc w:val="left"/>
      <w:outlineLvl w:val="1"/>
    </w:pPr>
    <w:rPr>
      <w:b/>
      <w:sz w:val="24"/>
      <w:szCs w:val="24"/>
    </w:rPr>
  </w:style>
  <w:style w:type="paragraph" w:styleId="TableText">
    <w:name w:val="Table Text"/>
    <w:basedOn w:val="Normal"/>
    <w:qFormat/>
    <w:pPr>
      <w:spacing w:before="40" w:after="40" w:line="240" w:lineRule="auto"/>
      <w:jc w:val="left"/>
    </w:pPr>
    <w:rPr>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