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E7D77"/>
          <w:sz w:val="22"/>
        </w:rPr>
        <w:t>RESEARCH PROJECT BLUEPRINT</w:t>
      </w:r>
    </w:p>
    <w:p>
      <w:pPr>
        <w:pStyle w:val="Title"/>
        <w:jc w:val="left"/>
      </w:pPr>
      <w:r>
        <w:t>Adaptive AI-Based Latent-Defect Screening and Early Drift Prediction</w:t>
        <w:br/>
        <w:t>for High-Reliability Electronic Components</w:t>
      </w:r>
    </w:p>
    <w:p>
      <w:pPr>
        <w:spacing w:before="160"/>
      </w:pPr>
      <w:r>
        <w:rPr>
          <w:b/>
          <w:color w:val="245B80"/>
          <w:sz w:val="24"/>
        </w:rPr>
        <w:t>SIH 26170 - AI-Driven Anomaly Detection in Component Burn-In &amp; Screening</w:t>
      </w:r>
    </w:p>
    <w:p>
      <w:pPr>
        <w:spacing w:before="80"/>
      </w:pPr>
      <w:r>
        <w:rPr>
          <w:color w:val="5D6975"/>
          <w:sz w:val="20"/>
        </w:rPr>
        <w:t>Team Reference | Major Project + Research Publication Plan | Version 2.0 - Locked Scope | 18 September 2026</w:t>
      </w: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183A5A"/>
              </w:rPr>
              <w:t>PURPOSE OF THIS DOCUMENT</w:t>
            </w:r>
          </w:p>
          <w:p>
            <w:pPr>
              <w:spacing w:after="0"/>
            </w:pPr>
            <w:r>
              <w:t>This is the finalized team blueprint for SIH 26170. It converts the supplied project-history PDF and the current burn-in proposal into one locked software-only research specification, with a publication-oriented methodology, leakage-safe evaluation protocol, physics-informed BurnIn-Bench, explicit conformal uncertainty design, and a supporting evidence-grounded diagnostic layer. It is a planning document: no performance result is assumed in advance.</w:t>
            </w:r>
          </w:p>
        </w:tc>
      </w:tr>
    </w:tbl>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A06A00"/>
              </w:rPr>
              <w:t>LOCKED SCIENTIFIC POSITION</w:t>
            </w:r>
          </w:p>
          <w:p>
            <w:pPr>
              <w:spacing w:after="0"/>
            </w:pPr>
            <w:r>
              <w:t>The project is 100% software and reproducible. Hardware-in-the-loop is removed from the official scope. The core research paper is laser-focused on the ML screening pipeline, conformal uncertainty under cross-lot shift, and the physics-informed BurnIn-Bench. The evidence-grounded diagnostic LLM/agent is explicitly supporting: it consumes verified evidence for QA reporting and chat, but it never controls PASS / REVIEW / HIGH RISK and is not a core scientific contribution.</w:t>
            </w:r>
          </w:p>
        </w:tc>
      </w:tr>
    </w:tbl>
    <w:p>
      <w:pPr>
        <w:spacing w:after="100" w:line="254" w:lineRule="auto"/>
      </w:pPr>
      <w:r>
        <w:t>Prepared as a team-facing research and engineering reference. This document contains proposed methodology, candidate experiments, and publication strategy; it does not contain fabricated performance results.</w:t>
      </w:r>
    </w:p>
    <w:p>
      <w:r>
        <w:br w:type="page"/>
      </w:r>
    </w:p>
    <w:p>
      <w:pPr>
        <w:pStyle w:val="Heading1"/>
        <w:keepNext/>
      </w:pPr>
      <w:r>
        <w:t>Contents</w:t>
      </w:r>
    </w:p>
    <w:p>
      <w:pPr>
        <w:spacing w:after="40"/>
        <w:ind w:left="288"/>
      </w:pPr>
      <w:r>
        <w:t>1. Executive research summary</w:t>
      </w:r>
    </w:p>
    <w:p>
      <w:pPr>
        <w:spacing w:after="40"/>
        <w:ind w:left="288"/>
      </w:pPr>
      <w:r>
        <w:t>2. Source reconciliation: what changed from the current proposal</w:t>
      </w:r>
    </w:p>
    <w:p>
      <w:pPr>
        <w:spacing w:after="40"/>
        <w:ind w:left="288"/>
      </w:pPr>
      <w:r>
        <w:t>3. Official problem and exact software scope</w:t>
      </w:r>
    </w:p>
    <w:p>
      <w:pPr>
        <w:spacing w:after="40"/>
        <w:ind w:left="288"/>
      </w:pPr>
      <w:r>
        <w:t>4. Research problem, gap, and publication thesis</w:t>
      </w:r>
    </w:p>
    <w:p>
      <w:pPr>
        <w:spacing w:after="40"/>
        <w:ind w:left="288"/>
      </w:pPr>
      <w:r>
        <w:t>5. Research questions and hypotheses</w:t>
      </w:r>
    </w:p>
    <w:p>
      <w:pPr>
        <w:spacing w:after="40"/>
        <w:ind w:left="288"/>
      </w:pPr>
      <w:r>
        <w:t>6. Final system architecture: REPRESENT -&gt; DETECT -&gt; PREDICT -&gt; TRUST -&gt; EXPLAIN</w:t>
      </w:r>
    </w:p>
    <w:p>
      <w:pPr>
        <w:spacing w:after="40"/>
        <w:ind w:left="288"/>
      </w:pPr>
      <w:r>
        <w:t>7. Data model, data quality, and leakage controls</w:t>
      </w:r>
    </w:p>
    <w:p>
      <w:pPr>
        <w:spacing w:after="40"/>
        <w:ind w:left="288"/>
      </w:pPr>
      <w:r>
        <w:t>8. BurnIn-Bench: six-layer latent physical generative instrument</w:t>
      </w:r>
    </w:p>
    <w:p>
      <w:pPr>
        <w:spacing w:after="40"/>
        <w:ind w:left="288"/>
      </w:pPr>
      <w:r>
        <w:t>9. Core ML methodology</w:t>
      </w:r>
    </w:p>
    <w:p>
      <w:pPr>
        <w:spacing w:after="40"/>
        <w:ind w:left="288"/>
      </w:pPr>
      <w:r>
        <w:t>10. Cross-lot distribution shift and robustness</w:t>
      </w:r>
    </w:p>
    <w:p>
      <w:pPr>
        <w:spacing w:after="40"/>
        <w:ind w:left="288"/>
      </w:pPr>
      <w:r>
        <w:t>11. Conformal uncertainty and risk-sensitive decisions</w:t>
      </w:r>
    </w:p>
    <w:p>
      <w:pPr>
        <w:spacing w:after="40"/>
        <w:ind w:left="288"/>
      </w:pPr>
      <w:r>
        <w:t>12. Explainability and supporting evidence-grounded diagnosis</w:t>
      </w:r>
    </w:p>
    <w:p>
      <w:pPr>
        <w:spacing w:after="40"/>
        <w:ind w:left="288"/>
      </w:pPr>
      <w:r>
        <w:t>13. Software replay, APIs, dashboard, and deployment architecture</w:t>
      </w:r>
    </w:p>
    <w:p>
      <w:pPr>
        <w:spacing w:after="40"/>
        <w:ind w:left="288"/>
      </w:pPr>
      <w:r>
        <w:t>14. Experimental methodology</w:t>
      </w:r>
    </w:p>
    <w:p>
      <w:pPr>
        <w:spacing w:after="40"/>
        <w:ind w:left="288"/>
      </w:pPr>
      <w:r>
        <w:t>15. Ablation, stress-test, and statistical protocol</w:t>
      </w:r>
    </w:p>
    <w:p>
      <w:pPr>
        <w:spacing w:after="40"/>
        <w:ind w:left="288"/>
      </w:pPr>
      <w:r>
        <w:t>16. Reproducibility, auditability, and MLOps</w:t>
      </w:r>
    </w:p>
    <w:p>
      <w:pPr>
        <w:spacing w:after="40"/>
        <w:ind w:left="288"/>
      </w:pPr>
      <w:r>
        <w:t>17. Scope exclusions and claims discipline</w:t>
      </w:r>
    </w:p>
    <w:p>
      <w:pPr>
        <w:spacing w:after="40"/>
        <w:ind w:left="288"/>
      </w:pPr>
      <w:r>
        <w:t>18. Team structure and one-year execution roadmap</w:t>
      </w:r>
    </w:p>
    <w:p>
      <w:pPr>
        <w:spacing w:after="40"/>
        <w:ind w:left="288"/>
      </w:pPr>
      <w:r>
        <w:t>19. Publication strategy and venue fit</w:t>
      </w:r>
    </w:p>
    <w:p>
      <w:pPr>
        <w:spacing w:after="40"/>
        <w:ind w:left="288"/>
      </w:pPr>
      <w:r>
        <w:t>20. Final paper structure and writing plan</w:t>
      </w:r>
    </w:p>
    <w:p>
      <w:pPr>
        <w:spacing w:after="40"/>
        <w:ind w:left="288"/>
      </w:pPr>
      <w:r>
        <w:t>21. Definition of success and go/no-go gates</w:t>
      </w:r>
    </w:p>
    <w:p>
      <w:pPr>
        <w:spacing w:after="40"/>
        <w:ind w:left="288"/>
      </w:pPr>
      <w:r>
        <w:t>22. Final consolidated checklist</w:t>
      </w:r>
    </w:p>
    <w:p>
      <w:pPr>
        <w:spacing w:after="40"/>
        <w:ind w:left="288"/>
      </w:pPr>
      <w:r>
        <w:t>References</w:t>
      </w:r>
    </w:p>
    <w:p>
      <w:r>
        <w:br w:type="page"/>
      </w:r>
    </w:p>
    <w:p>
      <w:pPr>
        <w:pStyle w:val="Heading1"/>
        <w:keepNext/>
      </w:pPr>
      <w:r>
        <w:t>1. Executive Research Summary</w:t>
      </w:r>
    </w:p>
    <w:p>
      <w:pPr>
        <w:spacing w:after="100" w:line="254" w:lineRule="auto"/>
      </w:pPr>
      <w:r>
        <w:t>The finalized project is a 100% software, reproducible AI screening system for SIH 26170. It consumes staged component measurement trajectories from public/proxy datasets and a controlled synthetic benchmark, then performs dynamic lot-relative anomaly detection, early 168h drift prediction, cross-lot shift assessment, uncertainty quantification, risk triage, and auditable explanation. No physical instrument, burn-in chamber, test board, DAQ, DMM, or SMU is required for implementation, evaluation, or demonstration.</w:t>
      </w:r>
    </w:p>
    <w:p>
      <w:pPr>
        <w:spacing w:after="100" w:line="254" w:lineRule="auto"/>
      </w:pPr>
      <w:r>
        <w:t>The central research question is deliberately narrower than “Can AI be used for semiconductor burn-in?” Existing work has already established that data-driven methods can support burn-in decisions. Our question is whether a lot-conditioned, label-efficient temporal screening pipeline can remain useful when production lots change and when the system must quantify how trustworthy its predictions are. The benchmark and evaluation protocol are therefore as important as the neural model.</w:t>
      </w:r>
    </w:p>
    <w:p>
      <w:pPr>
        <w:spacing w:after="100" w:line="254" w:lineRule="auto"/>
      </w:pPr>
      <w:r>
        <w:t>The core research sequence is fixed as REPRESENT -&gt; DETECT -&gt; PREDICT -&gt; TRUST. REPRESENT learns behaviour from mostly unlabeled trajectories. DETECT combines absolute, lot-relative, and temporal anomaly evidence. PREDICT estimates the 168h value from early observations. TRUST detects distribution shift and applies conformal uncertainty and selective decision logic. EXPLAIN sits after the core as a supporting application layer: it packages verified evidence for QA users and may optionally use an LLM for natural-language reporting.</w:t>
      </w:r>
    </w:p>
    <w:p>
      <w:pPr>
        <w:spacing w:after="100" w:line="254" w:lineRule="auto"/>
      </w:pPr>
      <w:r>
        <w:t>The primary publication experiment is a controlled study of conformal calibration under cross-lot distribution shift. On in-distribution lots, the calibration target is evaluated against nominal coverage. The same conformal machinery is then tested as lot baseline, variance, noise, and trajectory distributions are shifted. The scientific result is not assumed to be “conformal works”; the paper must measure how interval coverage, interval width, classification prediction-set behavior, and screening risk change under declared shift.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shd w:fill="183A5A"/>
            <w:tcMar>
              <w:top w:w="80" w:type="dxa"/>
              <w:start w:w="90" w:type="dxa"/>
              <w:bottom w:w="80" w:type="dxa"/>
              <w:end w:w="90" w:type="dxa"/>
            </w:tcMar>
            <w:vAlign w:val="center"/>
          </w:tcPr>
          <w:p>
            <w:pPr>
              <w:jc w:val="left"/>
            </w:pPr>
            <w:r>
              <w:rPr>
                <w:b/>
                <w:color w:val="FFFFFF"/>
                <w:sz w:val="16"/>
              </w:rPr>
              <w:t>Layer</w:t>
            </w:r>
          </w:p>
        </w:tc>
        <w:tc>
          <w:tcPr>
            <w:tcW w:type="dxa" w:w="5112"/>
            <w:shd w:fill="183A5A"/>
            <w:tcMar>
              <w:top w:w="80" w:type="dxa"/>
              <w:start w:w="90" w:type="dxa"/>
              <w:bottom w:w="80" w:type="dxa"/>
              <w:end w:w="90" w:type="dxa"/>
            </w:tcMar>
            <w:vAlign w:val="center"/>
          </w:tcPr>
          <w:p>
            <w:pPr>
              <w:jc w:val="left"/>
            </w:pPr>
            <w:r>
              <w:rPr>
                <w:b/>
                <w:color w:val="FFFFFF"/>
                <w:sz w:val="16"/>
              </w:rPr>
              <w:t>Locked project role</w:t>
            </w:r>
          </w:p>
        </w:tc>
        <w:tc>
          <w:tcPr>
            <w:tcW w:type="dxa" w:w="2736"/>
            <w:shd w:fill="183A5A"/>
            <w:tcMar>
              <w:top w:w="80" w:type="dxa"/>
              <w:start w:w="90" w:type="dxa"/>
              <w:bottom w:w="80" w:type="dxa"/>
              <w:end w:w="90" w:type="dxa"/>
            </w:tcMar>
            <w:vAlign w:val="center"/>
          </w:tcPr>
          <w:p>
            <w:pPr>
              <w:jc w:val="left"/>
            </w:pPr>
            <w:r>
              <w:rPr>
                <w:b/>
                <w:color w:val="FFFFFF"/>
                <w:sz w:val="16"/>
              </w:rPr>
              <w:t>Research / engineering status</w:t>
            </w:r>
          </w:p>
        </w:tc>
      </w:tr>
      <w:tr>
        <w:trPr>
          <w:cantSplit/>
        </w:trPr>
        <w:tc>
          <w:tcPr>
            <w:tcW w:type="dxa" w:w="1656"/>
            <w:shd w:fill="FFFFFF"/>
            <w:tcMar>
              <w:top w:w="80" w:type="dxa"/>
              <w:start w:w="90" w:type="dxa"/>
              <w:bottom w:w="80" w:type="dxa"/>
              <w:end w:w="90" w:type="dxa"/>
            </w:tcMar>
            <w:vAlign w:val="top"/>
          </w:tcPr>
          <w:p>
            <w:pPr>
              <w:spacing w:after="0"/>
            </w:pPr>
            <w:r>
              <w:rPr>
                <w:color w:val="1F2933"/>
                <w:sz w:val="16"/>
              </w:rPr>
              <w:t>SIH problem</w:t>
            </w:r>
          </w:p>
        </w:tc>
        <w:tc>
          <w:tcPr>
            <w:tcW w:type="dxa" w:w="5112"/>
            <w:shd w:fill="FFFFFF"/>
            <w:tcMar>
              <w:top w:w="80" w:type="dxa"/>
              <w:start w:w="90" w:type="dxa"/>
              <w:bottom w:w="80" w:type="dxa"/>
              <w:end w:w="90" w:type="dxa"/>
            </w:tcMar>
            <w:vAlign w:val="top"/>
          </w:tcPr>
          <w:p>
            <w:pPr>
              <w:spacing w:after="0"/>
            </w:pPr>
            <w:r>
              <w:rPr>
                <w:color w:val="1F2933"/>
                <w:sz w:val="16"/>
              </w:rPr>
              <w:t>Dynamic lot-relative anomaly detection + early 168h drift prediction + explainability</w:t>
            </w:r>
          </w:p>
        </w:tc>
        <w:tc>
          <w:tcPr>
            <w:tcW w:type="dxa" w:w="2736"/>
            <w:shd w:fill="FFFFFF"/>
            <w:tcMar>
              <w:top w:w="80" w:type="dxa"/>
              <w:start w:w="90" w:type="dxa"/>
              <w:bottom w:w="80" w:type="dxa"/>
              <w:end w:w="90" w:type="dxa"/>
            </w:tcMar>
            <w:vAlign w:val="top"/>
          </w:tcPr>
          <w:p>
            <w:pPr>
              <w:spacing w:after="0"/>
            </w:pPr>
            <w:r>
              <w:rPr>
                <w:color w:val="1F2933"/>
                <w:sz w:val="16"/>
              </w:rPr>
              <w:t>Mandatory</w:t>
            </w:r>
          </w:p>
        </w:tc>
      </w:tr>
      <w:tr>
        <w:trPr>
          <w:cantSplit/>
        </w:trPr>
        <w:tc>
          <w:tcPr>
            <w:tcW w:type="dxa" w:w="1656"/>
            <w:shd w:fill="F4F7F9"/>
            <w:tcMar>
              <w:top w:w="80" w:type="dxa"/>
              <w:start w:w="90" w:type="dxa"/>
              <w:bottom w:w="80" w:type="dxa"/>
              <w:end w:w="90" w:type="dxa"/>
            </w:tcMar>
            <w:vAlign w:val="top"/>
          </w:tcPr>
          <w:p>
            <w:pPr>
              <w:spacing w:after="0"/>
            </w:pPr>
            <w:r>
              <w:rPr>
                <w:color w:val="1F2933"/>
                <w:sz w:val="16"/>
              </w:rPr>
              <w:t>REPRESENT</w:t>
            </w:r>
          </w:p>
        </w:tc>
        <w:tc>
          <w:tcPr>
            <w:tcW w:type="dxa" w:w="5112"/>
            <w:shd w:fill="F4F7F9"/>
            <w:tcMar>
              <w:top w:w="80" w:type="dxa"/>
              <w:start w:w="90" w:type="dxa"/>
              <w:bottom w:w="80" w:type="dxa"/>
              <w:end w:w="90" w:type="dxa"/>
            </w:tcMar>
            <w:vAlign w:val="top"/>
          </w:tcPr>
          <w:p>
            <w:pPr>
              <w:spacing w:after="0"/>
            </w:pPr>
            <w:r>
              <w:rPr>
                <w:color w:val="1F2933"/>
                <w:sz w:val="16"/>
              </w:rPr>
              <w:t>Self-supervised temporal representation learning</w:t>
            </w:r>
          </w:p>
        </w:tc>
        <w:tc>
          <w:tcPr>
            <w:tcW w:type="dxa" w:w="2736"/>
            <w:shd w:fill="F4F7F9"/>
            <w:tcMar>
              <w:top w:w="80" w:type="dxa"/>
              <w:start w:w="90" w:type="dxa"/>
              <w:bottom w:w="80" w:type="dxa"/>
              <w:end w:w="90" w:type="dxa"/>
            </w:tcMar>
            <w:vAlign w:val="top"/>
          </w:tcPr>
          <w:p>
            <w:pPr>
              <w:spacing w:after="0"/>
            </w:pPr>
            <w:r>
              <w:rPr>
                <w:color w:val="1F2933"/>
                <w:sz w:val="16"/>
              </w:rPr>
              <w:t>Core research hypothesis</w:t>
            </w:r>
          </w:p>
        </w:tc>
      </w:tr>
      <w:tr>
        <w:trPr>
          <w:cantSplit/>
        </w:trPr>
        <w:tc>
          <w:tcPr>
            <w:tcW w:type="dxa" w:w="1656"/>
            <w:shd w:fill="FFFFFF"/>
            <w:tcMar>
              <w:top w:w="80" w:type="dxa"/>
              <w:start w:w="90" w:type="dxa"/>
              <w:bottom w:w="80" w:type="dxa"/>
              <w:end w:w="90" w:type="dxa"/>
            </w:tcMar>
            <w:vAlign w:val="top"/>
          </w:tcPr>
          <w:p>
            <w:pPr>
              <w:spacing w:after="0"/>
            </w:pPr>
            <w:r>
              <w:rPr>
                <w:color w:val="1F2933"/>
                <w:sz w:val="16"/>
              </w:rPr>
              <w:t>DETECT</w:t>
            </w:r>
          </w:p>
        </w:tc>
        <w:tc>
          <w:tcPr>
            <w:tcW w:type="dxa" w:w="5112"/>
            <w:shd w:fill="FFFFFF"/>
            <w:tcMar>
              <w:top w:w="80" w:type="dxa"/>
              <w:start w:w="90" w:type="dxa"/>
              <w:bottom w:w="80" w:type="dxa"/>
              <w:end w:w="90" w:type="dxa"/>
            </w:tcMar>
            <w:vAlign w:val="top"/>
          </w:tcPr>
          <w:p>
            <w:pPr>
              <w:spacing w:after="0"/>
            </w:pPr>
            <w:r>
              <w:rPr>
                <w:color w:val="1F2933"/>
                <w:sz w:val="16"/>
              </w:rPr>
              <w:t>Absolute + peer-relative + temporal anomaly evidence</w:t>
            </w:r>
          </w:p>
        </w:tc>
        <w:tc>
          <w:tcPr>
            <w:tcW w:type="dxa" w:w="2736"/>
            <w:shd w:fill="FFFFFF"/>
            <w:tcMar>
              <w:top w:w="80" w:type="dxa"/>
              <w:start w:w="90" w:type="dxa"/>
              <w:bottom w:w="80" w:type="dxa"/>
              <w:end w:w="90" w:type="dxa"/>
            </w:tcMar>
            <w:vAlign w:val="top"/>
          </w:tcPr>
          <w:p>
            <w:pPr>
              <w:spacing w:after="0"/>
            </w:pPr>
            <w:r>
              <w:rPr>
                <w:color w:val="1F2933"/>
                <w:sz w:val="16"/>
              </w:rPr>
              <w:t>Core</w:t>
            </w:r>
          </w:p>
        </w:tc>
      </w:tr>
      <w:tr>
        <w:trPr>
          <w:cantSplit/>
        </w:trPr>
        <w:tc>
          <w:tcPr>
            <w:tcW w:type="dxa" w:w="1656"/>
            <w:shd w:fill="F4F7F9"/>
            <w:tcMar>
              <w:top w:w="80" w:type="dxa"/>
              <w:start w:w="90" w:type="dxa"/>
              <w:bottom w:w="80" w:type="dxa"/>
              <w:end w:w="90" w:type="dxa"/>
            </w:tcMar>
            <w:vAlign w:val="top"/>
          </w:tcPr>
          <w:p>
            <w:pPr>
              <w:spacing w:after="0"/>
            </w:pPr>
            <w:r>
              <w:rPr>
                <w:color w:val="1F2933"/>
                <w:sz w:val="16"/>
              </w:rPr>
              <w:t>PREDICT</w:t>
            </w:r>
          </w:p>
        </w:tc>
        <w:tc>
          <w:tcPr>
            <w:tcW w:type="dxa" w:w="5112"/>
            <w:shd w:fill="F4F7F9"/>
            <w:tcMar>
              <w:top w:w="80" w:type="dxa"/>
              <w:start w:w="90" w:type="dxa"/>
              <w:bottom w:w="80" w:type="dxa"/>
              <w:end w:w="90" w:type="dxa"/>
            </w:tcMar>
            <w:vAlign w:val="top"/>
          </w:tcPr>
          <w:p>
            <w:pPr>
              <w:spacing w:after="0"/>
            </w:pPr>
            <w:r>
              <w:rPr>
                <w:color w:val="1F2933"/>
                <w:sz w:val="16"/>
              </w:rPr>
              <w:t>Early-to-168h drift forecasting</w:t>
            </w:r>
          </w:p>
        </w:tc>
        <w:tc>
          <w:tcPr>
            <w:tcW w:type="dxa" w:w="2736"/>
            <w:shd w:fill="F4F7F9"/>
            <w:tcMar>
              <w:top w:w="80" w:type="dxa"/>
              <w:start w:w="90" w:type="dxa"/>
              <w:bottom w:w="80" w:type="dxa"/>
              <w:end w:w="90" w:type="dxa"/>
            </w:tcMar>
            <w:vAlign w:val="top"/>
          </w:tcPr>
          <w:p>
            <w:pPr>
              <w:spacing w:after="0"/>
            </w:pPr>
            <w:r>
              <w:rPr>
                <w:color w:val="1F2933"/>
                <w:sz w:val="16"/>
              </w:rPr>
              <w:t>Core</w:t>
            </w:r>
          </w:p>
        </w:tc>
      </w:tr>
      <w:tr>
        <w:trPr>
          <w:cantSplit/>
        </w:trPr>
        <w:tc>
          <w:tcPr>
            <w:tcW w:type="dxa" w:w="1656"/>
            <w:shd w:fill="FFFFFF"/>
            <w:tcMar>
              <w:top w:w="80" w:type="dxa"/>
              <w:start w:w="90" w:type="dxa"/>
              <w:bottom w:w="80" w:type="dxa"/>
              <w:end w:w="90" w:type="dxa"/>
            </w:tcMar>
            <w:vAlign w:val="top"/>
          </w:tcPr>
          <w:p>
            <w:pPr>
              <w:spacing w:after="0"/>
            </w:pPr>
            <w:r>
              <w:rPr>
                <w:color w:val="1F2933"/>
                <w:sz w:val="16"/>
              </w:rPr>
              <w:t>TRUST</w:t>
            </w:r>
          </w:p>
        </w:tc>
        <w:tc>
          <w:tcPr>
            <w:tcW w:type="dxa" w:w="5112"/>
            <w:shd w:fill="FFFFFF"/>
            <w:tcMar>
              <w:top w:w="80" w:type="dxa"/>
              <w:start w:w="90" w:type="dxa"/>
              <w:bottom w:w="80" w:type="dxa"/>
              <w:end w:w="90" w:type="dxa"/>
            </w:tcMar>
            <w:vAlign w:val="top"/>
          </w:tcPr>
          <w:p>
            <w:pPr>
              <w:spacing w:after="0"/>
            </w:pPr>
            <w:r>
              <w:rPr>
                <w:color w:val="1F2933"/>
                <w:sz w:val="16"/>
              </w:rPr>
              <w:t>Shift detection + conformal uncertainty + selective risk</w:t>
            </w:r>
          </w:p>
        </w:tc>
        <w:tc>
          <w:tcPr>
            <w:tcW w:type="dxa" w:w="2736"/>
            <w:shd w:fill="FFFFFF"/>
            <w:tcMar>
              <w:top w:w="80" w:type="dxa"/>
              <w:start w:w="90" w:type="dxa"/>
              <w:bottom w:w="80" w:type="dxa"/>
              <w:end w:w="90" w:type="dxa"/>
            </w:tcMar>
            <w:vAlign w:val="top"/>
          </w:tcPr>
          <w:p>
            <w:pPr>
              <w:spacing w:after="0"/>
            </w:pPr>
            <w:r>
              <w:rPr>
                <w:color w:val="1F2933"/>
                <w:sz w:val="16"/>
              </w:rPr>
              <w:t>Core research</w:t>
            </w:r>
          </w:p>
        </w:tc>
      </w:tr>
      <w:tr>
        <w:trPr>
          <w:cantSplit/>
        </w:trPr>
        <w:tc>
          <w:tcPr>
            <w:tcW w:type="dxa" w:w="1656"/>
            <w:shd w:fill="F4F7F9"/>
            <w:tcMar>
              <w:top w:w="80" w:type="dxa"/>
              <w:start w:w="90" w:type="dxa"/>
              <w:bottom w:w="80" w:type="dxa"/>
              <w:end w:w="90" w:type="dxa"/>
            </w:tcMar>
            <w:vAlign w:val="top"/>
          </w:tcPr>
          <w:p>
            <w:pPr>
              <w:spacing w:after="0"/>
            </w:pPr>
            <w:r>
              <w:rPr>
                <w:color w:val="1F2933"/>
                <w:sz w:val="16"/>
              </w:rPr>
              <w:t>BurnIn-Bench</w:t>
            </w:r>
          </w:p>
        </w:tc>
        <w:tc>
          <w:tcPr>
            <w:tcW w:type="dxa" w:w="5112"/>
            <w:shd w:fill="F4F7F9"/>
            <w:tcMar>
              <w:top w:w="80" w:type="dxa"/>
              <w:start w:w="90" w:type="dxa"/>
              <w:bottom w:w="80" w:type="dxa"/>
              <w:end w:w="90" w:type="dxa"/>
            </w:tcMar>
            <w:vAlign w:val="top"/>
          </w:tcPr>
          <w:p>
            <w:pPr>
              <w:spacing w:after="0"/>
            </w:pPr>
            <w:r>
              <w:rPr>
                <w:color w:val="1F2933"/>
                <w:sz w:val="16"/>
              </w:rPr>
              <w:t>Physics-informed six-layer generative benchmark</w:t>
            </w:r>
          </w:p>
        </w:tc>
        <w:tc>
          <w:tcPr>
            <w:tcW w:type="dxa" w:w="2736"/>
            <w:shd w:fill="F4F7F9"/>
            <w:tcMar>
              <w:top w:w="80" w:type="dxa"/>
              <w:start w:w="90" w:type="dxa"/>
              <w:bottom w:w="80" w:type="dxa"/>
              <w:end w:w="90" w:type="dxa"/>
            </w:tcMar>
            <w:vAlign w:val="top"/>
          </w:tcPr>
          <w:p>
            <w:pPr>
              <w:spacing w:after="0"/>
            </w:pPr>
            <w:r>
              <w:rPr>
                <w:color w:val="1F2933"/>
                <w:sz w:val="16"/>
              </w:rPr>
              <w:t>Core benchmark contribution</w:t>
            </w:r>
          </w:p>
        </w:tc>
      </w:tr>
      <w:tr>
        <w:trPr>
          <w:cantSplit/>
        </w:trPr>
        <w:tc>
          <w:tcPr>
            <w:tcW w:type="dxa" w:w="1656"/>
            <w:shd w:fill="FFFFFF"/>
            <w:tcMar>
              <w:top w:w="80" w:type="dxa"/>
              <w:start w:w="90" w:type="dxa"/>
              <w:bottom w:w="80" w:type="dxa"/>
              <w:end w:w="90" w:type="dxa"/>
            </w:tcMar>
            <w:vAlign w:val="top"/>
          </w:tcPr>
          <w:p>
            <w:pPr>
              <w:spacing w:after="0"/>
            </w:pPr>
            <w:r>
              <w:rPr>
                <w:color w:val="1F2933"/>
                <w:sz w:val="16"/>
              </w:rPr>
              <w:t>EXPLAIN</w:t>
            </w:r>
          </w:p>
        </w:tc>
        <w:tc>
          <w:tcPr>
            <w:tcW w:type="dxa" w:w="5112"/>
            <w:shd w:fill="FFFFFF"/>
            <w:tcMar>
              <w:top w:w="80" w:type="dxa"/>
              <w:start w:w="90" w:type="dxa"/>
              <w:bottom w:w="80" w:type="dxa"/>
              <w:end w:w="90" w:type="dxa"/>
            </w:tcMar>
            <w:vAlign w:val="top"/>
          </w:tcPr>
          <w:p>
            <w:pPr>
              <w:spacing w:after="0"/>
            </w:pPr>
            <w:r>
              <w:rPr>
                <w:color w:val="1F2933"/>
                <w:sz w:val="16"/>
              </w:rPr>
              <w:t>Verified evidence compiler + optional diagnostic LLM</w:t>
            </w:r>
          </w:p>
        </w:tc>
        <w:tc>
          <w:tcPr>
            <w:tcW w:type="dxa" w:w="2736"/>
            <w:shd w:fill="FFFFFF"/>
            <w:tcMar>
              <w:top w:w="80" w:type="dxa"/>
              <w:start w:w="90" w:type="dxa"/>
              <w:bottom w:w="80" w:type="dxa"/>
              <w:end w:w="90" w:type="dxa"/>
            </w:tcMar>
            <w:vAlign w:val="top"/>
          </w:tcPr>
          <w:p>
            <w:pPr>
              <w:spacing w:after="0"/>
            </w:pPr>
            <w:r>
              <w:rPr>
                <w:color w:val="1F2933"/>
                <w:sz w:val="16"/>
              </w:rPr>
              <w:t>Supporting application layer</w:t>
            </w:r>
          </w:p>
        </w:tc>
      </w:tr>
      <w:tr>
        <w:trPr>
          <w:cantSplit/>
        </w:trPr>
        <w:tc>
          <w:tcPr>
            <w:tcW w:type="dxa" w:w="1656"/>
            <w:shd w:fill="F4F7F9"/>
            <w:tcMar>
              <w:top w:w="80" w:type="dxa"/>
              <w:start w:w="90" w:type="dxa"/>
              <w:bottom w:w="80" w:type="dxa"/>
              <w:end w:w="90" w:type="dxa"/>
            </w:tcMar>
            <w:vAlign w:val="top"/>
          </w:tcPr>
          <w:p>
            <w:pPr>
              <w:spacing w:after="0"/>
            </w:pPr>
            <w:r>
              <w:rPr>
                <w:color w:val="1F2933"/>
                <w:sz w:val="16"/>
              </w:rPr>
              <w:t>Replay / dashboard</w:t>
            </w:r>
          </w:p>
        </w:tc>
        <w:tc>
          <w:tcPr>
            <w:tcW w:type="dxa" w:w="5112"/>
            <w:shd w:fill="F4F7F9"/>
            <w:tcMar>
              <w:top w:w="80" w:type="dxa"/>
              <w:start w:w="90" w:type="dxa"/>
              <w:bottom w:w="80" w:type="dxa"/>
              <w:end w:w="90" w:type="dxa"/>
            </w:tcMar>
            <w:vAlign w:val="top"/>
          </w:tcPr>
          <w:p>
            <w:pPr>
              <w:spacing w:after="0"/>
            </w:pPr>
            <w:r>
              <w:rPr>
                <w:color w:val="1F2933"/>
                <w:sz w:val="16"/>
              </w:rPr>
              <w:t>Accelerated measurement-stream replay through the same software path</w:t>
            </w:r>
          </w:p>
        </w:tc>
        <w:tc>
          <w:tcPr>
            <w:tcW w:type="dxa" w:w="2736"/>
            <w:shd w:fill="F4F7F9"/>
            <w:tcMar>
              <w:top w:w="80" w:type="dxa"/>
              <w:start w:w="90" w:type="dxa"/>
              <w:bottom w:w="80" w:type="dxa"/>
              <w:end w:w="90" w:type="dxa"/>
            </w:tcMar>
            <w:vAlign w:val="top"/>
          </w:tcPr>
          <w:p>
            <w:pPr>
              <w:spacing w:after="0"/>
            </w:pPr>
            <w:r>
              <w:rPr>
                <w:color w:val="1F2933"/>
                <w:sz w:val="16"/>
              </w:rPr>
              <w:t>Mandatory software demonstration</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2E7D77"/>
              </w:rPr>
              <w:t>LOCKED SCOPE</w:t>
            </w:r>
          </w:p>
          <w:p>
            <w:pPr>
              <w:spacing w:after="0"/>
            </w:pPr>
            <w:r>
              <w:t>No hardware-in-the-loop dependency. The project must be fully testable from a clean software environment using public/proxy data, BurnIn-Bench, deterministic replay, APIs, and the QA dashboard. Any future physical validation is external evidence, not a project prerequisite.</w:t>
            </w:r>
          </w:p>
        </w:tc>
      </w:tr>
    </w:tbl>
    <w:p>
      <w:pPr>
        <w:pStyle w:val="Heading1"/>
        <w:keepNext/>
      </w:pPr>
      <w:r>
        <w:t>2. Source Reconciliation: What Changed from the Current Proposal</w:t>
      </w:r>
    </w:p>
    <w:p>
      <w:pPr>
        <w:spacing w:after="100" w:line="254" w:lineRule="auto"/>
      </w:pPr>
      <w:r>
        <w:t>The supplied proposal established the SIH target, four-engine concept, proxy-data strategy, and software stack. The longer project-history document subsequently added the research question, unseen-lot evaluation, label-efficiency studies, uncertainty, XAI safeguards, and a benchmark design. This final blueprint now makes several additional decisions explicit so there is no ambiguity in implementation or paper writing.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83A5A"/>
            <w:tcMar>
              <w:top w:w="80" w:type="dxa"/>
              <w:start w:w="90" w:type="dxa"/>
              <w:bottom w:w="80" w:type="dxa"/>
              <w:end w:w="90" w:type="dxa"/>
            </w:tcMar>
            <w:vAlign w:val="center"/>
          </w:tcPr>
          <w:p>
            <w:pPr>
              <w:jc w:val="left"/>
            </w:pPr>
            <w:r>
              <w:rPr>
                <w:b/>
                <w:color w:val="FFFFFF"/>
                <w:sz w:val="16"/>
              </w:rPr>
              <w:t>Earlier framing</w:t>
            </w:r>
          </w:p>
        </w:tc>
        <w:tc>
          <w:tcPr>
            <w:tcW w:type="dxa" w:w="3600"/>
            <w:shd w:fill="183A5A"/>
            <w:tcMar>
              <w:top w:w="80" w:type="dxa"/>
              <w:start w:w="90" w:type="dxa"/>
              <w:bottom w:w="80" w:type="dxa"/>
              <w:end w:w="90" w:type="dxa"/>
            </w:tcMar>
            <w:vAlign w:val="center"/>
          </w:tcPr>
          <w:p>
            <w:pPr>
              <w:jc w:val="left"/>
            </w:pPr>
            <w:r>
              <w:rPr>
                <w:b/>
                <w:color w:val="FFFFFF"/>
                <w:sz w:val="16"/>
              </w:rPr>
              <w:t>Final correction</w:t>
            </w:r>
          </w:p>
        </w:tc>
        <w:tc>
          <w:tcPr>
            <w:tcW w:type="dxa" w:w="3312"/>
            <w:shd w:fill="183A5A"/>
            <w:tcMar>
              <w:top w:w="80" w:type="dxa"/>
              <w:start w:w="90" w:type="dxa"/>
              <w:bottom w:w="80" w:type="dxa"/>
              <w:end w:w="90" w:type="dxa"/>
            </w:tcMar>
            <w:vAlign w:val="center"/>
          </w:tcPr>
          <w:p>
            <w:pPr>
              <w:jc w:val="left"/>
            </w:pPr>
            <w:r>
              <w:rPr>
                <w:b/>
                <w:color w:val="FFFFFF"/>
                <w:sz w:val="16"/>
              </w:rPr>
              <w:t>Locked position</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Physical tester as an optional validation branch</w:t>
            </w:r>
          </w:p>
        </w:tc>
        <w:tc>
          <w:tcPr>
            <w:tcW w:type="dxa" w:w="3600"/>
            <w:shd w:fill="FFFFFF"/>
            <w:tcMar>
              <w:top w:w="80" w:type="dxa"/>
              <w:start w:w="90" w:type="dxa"/>
              <w:bottom w:w="80" w:type="dxa"/>
              <w:end w:w="90" w:type="dxa"/>
            </w:tcMar>
            <w:vAlign w:val="top"/>
          </w:tcPr>
          <w:p>
            <w:pPr>
              <w:spacing w:after="0"/>
            </w:pPr>
            <w:r>
              <w:rPr>
                <w:color w:val="1F2933"/>
                <w:sz w:val="16"/>
              </w:rPr>
              <w:t>The branch could still be read as a project requirement.</w:t>
            </w:r>
          </w:p>
        </w:tc>
        <w:tc>
          <w:tcPr>
            <w:tcW w:type="dxa" w:w="3312"/>
            <w:shd w:fill="FFFFFF"/>
            <w:tcMar>
              <w:top w:w="80" w:type="dxa"/>
              <w:start w:w="90" w:type="dxa"/>
              <w:bottom w:w="80" w:type="dxa"/>
              <w:end w:w="90" w:type="dxa"/>
            </w:tcMar>
            <w:vAlign w:val="top"/>
          </w:tcPr>
          <w:p>
            <w:pPr>
              <w:spacing w:after="0"/>
            </w:pPr>
            <w:r>
              <w:rPr>
                <w:color w:val="1F2933"/>
                <w:sz w:val="16"/>
              </w:rPr>
              <w:t>Remove hardware-in-the-loop from official scope; software replay is the only mandatory end-to-end path.</w:t>
            </w:r>
          </w:p>
        </w:tc>
      </w:tr>
      <w:tr>
        <w:trPr>
          <w:cantSplit/>
        </w:trPr>
        <w:tc>
          <w:tcPr>
            <w:tcW w:type="dxa" w:w="2592"/>
            <w:shd w:fill="F4F7F9"/>
            <w:tcMar>
              <w:top w:w="80" w:type="dxa"/>
              <w:start w:w="90" w:type="dxa"/>
              <w:bottom w:w="80" w:type="dxa"/>
              <w:end w:w="90" w:type="dxa"/>
            </w:tcMar>
            <w:vAlign w:val="top"/>
          </w:tcPr>
          <w:p>
            <w:pPr>
              <w:spacing w:after="0"/>
            </w:pPr>
            <w:r>
              <w:rPr>
                <w:color w:val="1F2933"/>
                <w:sz w:val="16"/>
              </w:rPr>
              <w:t>BurnIn-Bench as generic synthetic data</w:t>
            </w:r>
          </w:p>
        </w:tc>
        <w:tc>
          <w:tcPr>
            <w:tcW w:type="dxa" w:w="3600"/>
            <w:shd w:fill="F4F7F9"/>
            <w:tcMar>
              <w:top w:w="80" w:type="dxa"/>
              <w:start w:w="90" w:type="dxa"/>
              <w:bottom w:w="80" w:type="dxa"/>
              <w:end w:w="90" w:type="dxa"/>
            </w:tcMar>
            <w:vAlign w:val="top"/>
          </w:tcPr>
          <w:p>
            <w:pPr>
              <w:spacing w:after="0"/>
            </w:pPr>
            <w:r>
              <w:rPr>
                <w:color w:val="1F2933"/>
                <w:sz w:val="16"/>
              </w:rPr>
              <w:t>The generator needs explicit physical priors and causal ordering.</w:t>
            </w:r>
          </w:p>
        </w:tc>
        <w:tc>
          <w:tcPr>
            <w:tcW w:type="dxa" w:w="3312"/>
            <w:shd w:fill="F4F7F9"/>
            <w:tcMar>
              <w:top w:w="80" w:type="dxa"/>
              <w:start w:w="90" w:type="dxa"/>
              <w:bottom w:w="80" w:type="dxa"/>
              <w:end w:w="90" w:type="dxa"/>
            </w:tcMar>
            <w:vAlign w:val="top"/>
          </w:tcPr>
          <w:p>
            <w:pPr>
              <w:spacing w:after="0"/>
            </w:pPr>
            <w:r>
              <w:rPr>
                <w:color w:val="1F2933"/>
                <w:sz w:val="16"/>
              </w:rPr>
              <w:t>Formal six-layer latent physical generative instrument with independent latent state and measurement process.</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Conformal prediction as generic “uncertainty”</w:t>
            </w:r>
          </w:p>
        </w:tc>
        <w:tc>
          <w:tcPr>
            <w:tcW w:type="dxa" w:w="3600"/>
            <w:shd w:fill="FFFFFF"/>
            <w:tcMar>
              <w:top w:w="80" w:type="dxa"/>
              <w:start w:w="90" w:type="dxa"/>
              <w:bottom w:w="80" w:type="dxa"/>
              <w:end w:w="90" w:type="dxa"/>
            </w:tcMar>
            <w:vAlign w:val="top"/>
          </w:tcPr>
          <w:p>
            <w:pPr>
              <w:spacing w:after="0"/>
            </w:pPr>
            <w:r>
              <w:rPr>
                <w:color w:val="1F2933"/>
                <w:sz w:val="16"/>
              </w:rPr>
              <w:t>The mechanism must be reproducible and task-specific.</w:t>
            </w:r>
          </w:p>
        </w:tc>
        <w:tc>
          <w:tcPr>
            <w:tcW w:type="dxa" w:w="3312"/>
            <w:shd w:fill="FFFFFF"/>
            <w:tcMar>
              <w:top w:w="80" w:type="dxa"/>
              <w:start w:w="90" w:type="dxa"/>
              <w:bottom w:w="80" w:type="dxa"/>
              <w:end w:w="90" w:type="dxa"/>
            </w:tcMar>
            <w:vAlign w:val="top"/>
          </w:tcPr>
          <w:p>
            <w:pPr>
              <w:spacing w:after="0"/>
            </w:pPr>
            <w:r>
              <w:rPr>
                <w:color w:val="1F2933"/>
                <w:sz w:val="16"/>
              </w:rPr>
              <w:t>CQR for 168h continuous drift; Inductive/Split Conformal for anomaly classification.</w:t>
            </w:r>
          </w:p>
        </w:tc>
      </w:tr>
      <w:tr>
        <w:trPr>
          <w:cantSplit/>
        </w:trPr>
        <w:tc>
          <w:tcPr>
            <w:tcW w:type="dxa" w:w="2592"/>
            <w:shd w:fill="F4F7F9"/>
            <w:tcMar>
              <w:top w:w="80" w:type="dxa"/>
              <w:start w:w="90" w:type="dxa"/>
              <w:bottom w:w="80" w:type="dxa"/>
              <w:end w:w="90" w:type="dxa"/>
            </w:tcMar>
            <w:vAlign w:val="top"/>
          </w:tcPr>
          <w:p>
            <w:pPr>
              <w:spacing w:after="0"/>
            </w:pPr>
            <w:r>
              <w:rPr>
                <w:color w:val="1F2933"/>
                <w:sz w:val="16"/>
              </w:rPr>
              <w:t>Conformal guarantees stated broadly</w:t>
            </w:r>
          </w:p>
        </w:tc>
        <w:tc>
          <w:tcPr>
            <w:tcW w:type="dxa" w:w="3600"/>
            <w:shd w:fill="F4F7F9"/>
            <w:tcMar>
              <w:top w:w="80" w:type="dxa"/>
              <w:start w:w="90" w:type="dxa"/>
              <w:bottom w:w="80" w:type="dxa"/>
              <w:end w:w="90" w:type="dxa"/>
            </w:tcMar>
            <w:vAlign w:val="top"/>
          </w:tcPr>
          <w:p>
            <w:pPr>
              <w:spacing w:after="0"/>
            </w:pPr>
            <w:r>
              <w:rPr>
                <w:color w:val="1F2933"/>
                <w:sz w:val="16"/>
              </w:rPr>
              <w:t>Time-series dependence and shift can violate exchangeability.</w:t>
            </w:r>
          </w:p>
        </w:tc>
        <w:tc>
          <w:tcPr>
            <w:tcW w:type="dxa" w:w="3312"/>
            <w:shd w:fill="F4F7F9"/>
            <w:tcMar>
              <w:top w:w="80" w:type="dxa"/>
              <w:start w:w="90" w:type="dxa"/>
              <w:bottom w:w="80" w:type="dxa"/>
              <w:end w:w="90" w:type="dxa"/>
            </w:tcMar>
            <w:vAlign w:val="top"/>
          </w:tcPr>
          <w:p>
            <w:pPr>
              <w:spacing w:after="0"/>
            </w:pPr>
            <w:r>
              <w:rPr>
                <w:color w:val="1F2933"/>
                <w:sz w:val="16"/>
              </w:rPr>
              <w:t>Finite-sample marginal coverage is tied to the conformal assumptions; shift degradation is an empirical research question.</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Black equation as direct resistance drift law</w:t>
            </w:r>
          </w:p>
        </w:tc>
        <w:tc>
          <w:tcPr>
            <w:tcW w:type="dxa" w:w="3600"/>
            <w:shd w:fill="FFFFFF"/>
            <w:tcMar>
              <w:top w:w="80" w:type="dxa"/>
              <w:start w:w="90" w:type="dxa"/>
              <w:bottom w:w="80" w:type="dxa"/>
              <w:end w:w="90" w:type="dxa"/>
            </w:tcMar>
            <w:vAlign w:val="top"/>
          </w:tcPr>
          <w:p>
            <w:pPr>
              <w:spacing w:after="0"/>
            </w:pPr>
            <w:r>
              <w:rPr>
                <w:color w:val="1F2933"/>
                <w:sz w:val="16"/>
              </w:rPr>
              <w:t>Technically incorrect.</w:t>
            </w:r>
          </w:p>
        </w:tc>
        <w:tc>
          <w:tcPr>
            <w:tcW w:type="dxa" w:w="3312"/>
            <w:shd w:fill="FFFFFF"/>
            <w:tcMar>
              <w:top w:w="80" w:type="dxa"/>
              <w:start w:w="90" w:type="dxa"/>
              <w:bottom w:w="80" w:type="dxa"/>
              <w:end w:w="90" w:type="dxa"/>
            </w:tcMar>
            <w:vAlign w:val="top"/>
          </w:tcPr>
          <w:p>
            <w:pPr>
              <w:spacing w:after="0"/>
            </w:pPr>
            <w:r>
              <w:rPr>
                <w:color w:val="1F2933"/>
                <w:sz w:val="16"/>
              </w:rPr>
              <w:t>Black is used as an electromigration stress / lifetime prior; observable resistance drift uses a separate phenomenological power law when simulated.</w:t>
            </w:r>
          </w:p>
        </w:tc>
      </w:tr>
      <w:tr>
        <w:trPr>
          <w:cantSplit/>
        </w:trPr>
        <w:tc>
          <w:tcPr>
            <w:tcW w:type="dxa" w:w="2592"/>
            <w:shd w:fill="F4F7F9"/>
            <w:tcMar>
              <w:top w:w="80" w:type="dxa"/>
              <w:start w:w="90" w:type="dxa"/>
              <w:bottom w:w="80" w:type="dxa"/>
              <w:end w:w="90" w:type="dxa"/>
            </w:tcMar>
            <w:vAlign w:val="top"/>
          </w:tcPr>
          <w:p>
            <w:pPr>
              <w:spacing w:after="0"/>
            </w:pPr>
            <w:r>
              <w:rPr>
                <w:color w:val="1F2933"/>
                <w:sz w:val="16"/>
              </w:rPr>
              <w:t>NBTI fixed as logarithmic</w:t>
            </w:r>
          </w:p>
        </w:tc>
        <w:tc>
          <w:tcPr>
            <w:tcW w:type="dxa" w:w="3600"/>
            <w:shd w:fill="F4F7F9"/>
            <w:tcMar>
              <w:top w:w="80" w:type="dxa"/>
              <w:start w:w="90" w:type="dxa"/>
              <w:bottom w:w="80" w:type="dxa"/>
              <w:end w:w="90" w:type="dxa"/>
            </w:tcMar>
            <w:vAlign w:val="top"/>
          </w:tcPr>
          <w:p>
            <w:pPr>
              <w:spacing w:after="0"/>
            </w:pPr>
            <w:r>
              <w:rPr>
                <w:color w:val="1F2933"/>
                <w:sz w:val="16"/>
              </w:rPr>
              <w:t>Too strong as a universal claim.</w:t>
            </w:r>
          </w:p>
        </w:tc>
        <w:tc>
          <w:tcPr>
            <w:tcW w:type="dxa" w:w="3312"/>
            <w:shd w:fill="F4F7F9"/>
            <w:tcMar>
              <w:top w:w="80" w:type="dxa"/>
              <w:start w:w="90" w:type="dxa"/>
              <w:bottom w:w="80" w:type="dxa"/>
              <w:end w:w="90" w:type="dxa"/>
            </w:tcMar>
            <w:vAlign w:val="top"/>
          </w:tcPr>
          <w:p>
            <w:pPr>
              <w:spacing w:after="0"/>
            </w:pPr>
            <w:r>
              <w:rPr>
                <w:color w:val="1F2933"/>
                <w:sz w:val="16"/>
              </w:rPr>
              <w:t>Use literature-supported NBTI-inspired temporal regimes, with power-law and/or logarithmic forms only when justified by the chosen model source.</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LLM as root-cause research module</w:t>
            </w:r>
          </w:p>
        </w:tc>
        <w:tc>
          <w:tcPr>
            <w:tcW w:type="dxa" w:w="3600"/>
            <w:shd w:fill="FFFFFF"/>
            <w:tcMar>
              <w:top w:w="80" w:type="dxa"/>
              <w:start w:w="90" w:type="dxa"/>
              <w:bottom w:w="80" w:type="dxa"/>
              <w:end w:w="90" w:type="dxa"/>
            </w:tcMar>
            <w:vAlign w:val="top"/>
          </w:tcPr>
          <w:p>
            <w:pPr>
              <w:spacing w:after="0"/>
            </w:pPr>
            <w:r>
              <w:rPr>
                <w:color w:val="1F2933"/>
                <w:sz w:val="16"/>
              </w:rPr>
              <w:t>Risks diluting the reliability ML thesis.</w:t>
            </w:r>
          </w:p>
        </w:tc>
        <w:tc>
          <w:tcPr>
            <w:tcW w:type="dxa" w:w="3312"/>
            <w:shd w:fill="FFFFFF"/>
            <w:tcMar>
              <w:top w:w="80" w:type="dxa"/>
              <w:start w:w="90" w:type="dxa"/>
              <w:bottom w:w="80" w:type="dxa"/>
              <w:end w:w="90" w:type="dxa"/>
            </w:tcMar>
            <w:vAlign w:val="top"/>
          </w:tcPr>
          <w:p>
            <w:pPr>
              <w:spacing w:after="0"/>
            </w:pPr>
            <w:r>
              <w:rPr>
                <w:color w:val="1F2933"/>
                <w:sz w:val="16"/>
              </w:rPr>
              <w:t>Supporting QA feature only; it consumes verified evidence and never controls disposition.</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A06A00"/>
              </w:rPr>
              <w:t>Final methodological principle</w:t>
            </w:r>
          </w:p>
          <w:p>
            <w:pPr>
              <w:spacing w:after="0"/>
            </w:pPr>
            <w:r>
              <w:t>Do not add technology because it sounds advanced. Add it only when the benchmark, hypothesis, or evaluation protocol requires it and the experiment can show what changed.</w:t>
            </w:r>
          </w:p>
        </w:tc>
      </w:tr>
    </w:tbl>
    <w:p>
      <w:pPr>
        <w:pStyle w:val="Heading1"/>
        <w:keepNext/>
      </w:pPr>
      <w:r>
        <w:t>3. Official Problem and Exact Software Scope</w:t>
      </w:r>
    </w:p>
    <w:p>
      <w:pPr>
        <w:spacing w:after="100" w:line="254" w:lineRule="auto"/>
      </w:pPr>
      <w:r>
        <w:t>SIH 26170 concerns AI-driven analysis of component burn-in measurements. The project materials specify staged examples at 0h, 24h, 96h, and 168h, dynamic lot-relative anomaly detection, early prediction of later-stage drift, false-negative-sensitive screening, and explainability. The implementation in this blueprint is a software interpretation of those requirements; it does not claim access to ISRO-private instrumentation, calibration protocols, or proprietary datasets.</w:t>
      </w:r>
    </w:p>
    <w:p>
      <w:pPr>
        <w:pStyle w:val="Heading2"/>
        <w:keepNext/>
      </w:pPr>
      <w:r>
        <w:t>3.1 Mandatory scope</w:t>
      </w:r>
    </w:p>
    <w:p>
      <w:pPr>
        <w:pStyle w:val="ListBullet"/>
        <w:spacing w:after="40"/>
        <w:ind w:left="317"/>
      </w:pPr>
      <w:r>
        <w:t>Software ingestion and validation of staged measurement trajectories.</w:t>
      </w:r>
    </w:p>
    <w:p>
      <w:pPr>
        <w:pStyle w:val="ListBullet"/>
        <w:spacing w:after="40"/>
        <w:ind w:left="317"/>
      </w:pPr>
      <w:r>
        <w:t>Public/proxy data preparation and a controlled BurnIn-Bench benchmark.</w:t>
      </w:r>
    </w:p>
    <w:p>
      <w:pPr>
        <w:pStyle w:val="ListBullet"/>
        <w:spacing w:after="40"/>
        <w:ind w:left="317"/>
      </w:pPr>
      <w:r>
        <w:t>Lot-conditioned temporal representation learning, with self-supervision evaluated rather than assumed beneficial.</w:t>
      </w:r>
    </w:p>
    <w:p>
      <w:pPr>
        <w:pStyle w:val="ListBullet"/>
        <w:spacing w:after="40"/>
        <w:ind w:left="317"/>
      </w:pPr>
      <w:r>
        <w:t>Dynamic anomaly detection using absolute, peer-relative, and temporal evidence.</w:t>
      </w:r>
    </w:p>
    <w:p>
      <w:pPr>
        <w:pStyle w:val="ListBullet"/>
        <w:spacing w:after="40"/>
        <w:ind w:left="317"/>
      </w:pPr>
      <w:r>
        <w:t>Early 168h drift prediction from early observations, with a leakage-safe information horizon.</w:t>
      </w:r>
    </w:p>
    <w:p>
      <w:pPr>
        <w:pStyle w:val="ListBullet"/>
        <w:spacing w:after="40"/>
        <w:ind w:left="317"/>
      </w:pPr>
      <w:r>
        <w:t>Cross-lot distribution-shift detection and robustness experiments.</w:t>
      </w:r>
    </w:p>
    <w:p>
      <w:pPr>
        <w:pStyle w:val="ListBullet"/>
        <w:spacing w:after="40"/>
        <w:ind w:left="317"/>
      </w:pPr>
      <w:r>
        <w:t>CQR prediction intervals for continuous 168h drift and Inductive/Split Conformal prediction sets for anomaly classification.</w:t>
      </w:r>
    </w:p>
    <w:p>
      <w:pPr>
        <w:pStyle w:val="ListBullet"/>
        <w:spacing w:after="40"/>
        <w:ind w:left="317"/>
      </w:pPr>
      <w:r>
        <w:t>Risk-sensitive PASS / REVIEW / HIGH RISK disposition generated by deterministic decision logic outside the LLM.</w:t>
      </w:r>
    </w:p>
    <w:p>
      <w:pPr>
        <w:pStyle w:val="ListBullet"/>
        <w:spacing w:after="40"/>
        <w:ind w:left="317"/>
      </w:pPr>
      <w:r>
        <w:t>Explainability, audit logs, deterministic replay, APIs, and a QA dashboard.</w:t>
      </w:r>
    </w:p>
    <w:p>
      <w:pPr>
        <w:pStyle w:val="Heading2"/>
        <w:keepNext/>
      </w:pPr>
      <w:r>
        <w:t>3.2 Explicitly removed from project scope</w:t>
      </w:r>
    </w:p>
    <w:p>
      <w:pPr>
        <w:pStyle w:val="ListBullet"/>
        <w:spacing w:after="40"/>
        <w:ind w:left="317"/>
      </w:pPr>
      <w:r>
        <w:t>No physical burn-in chamber, heater, power supply, test board, DUT, DAQ, DMM, SMU, oscilloscope, or laboratory acquisition setup is required.</w:t>
      </w:r>
    </w:p>
    <w:p>
      <w:pPr>
        <w:pStyle w:val="ListBullet"/>
        <w:spacing w:after="40"/>
        <w:ind w:left="317"/>
      </w:pPr>
      <w:r>
        <w:t>No hardware-in-the-loop experiment is required to claim project completion.</w:t>
      </w:r>
    </w:p>
    <w:p>
      <w:pPr>
        <w:pStyle w:val="ListBullet"/>
        <w:spacing w:after="40"/>
        <w:ind w:left="317"/>
      </w:pPr>
      <w:r>
        <w:t>No claim that the benchmark reproduces an ISRO-qualified component, physical test profile, or proprietary screening process.</w:t>
      </w:r>
    </w:p>
    <w:p>
      <w:pPr>
        <w:pStyle w:val="ListBullet"/>
        <w:spacing w:after="40"/>
        <w:ind w:left="317"/>
      </w:pPr>
      <w:r>
        <w:t>No forced PINN, neural ODE, GNN, RL, diffusion, blockchain, RAG, or agentic architecture unless a later experiment establishes a specific research need.</w:t>
      </w:r>
    </w:p>
    <w:p>
      <w:pPr>
        <w:pStyle w:val="Heading2"/>
        <w:keepNext/>
      </w:pPr>
      <w:r>
        <w:t>3.3 Correct software boundary</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INPUTS</w:t>
              <w:br/>
              <w:t xml:space="preserve">  public/proxy measurements</w:t>
              <w:br/>
              <w:t xml:space="preserve">  BurnIn-Bench generated trajectories</w:t>
              <w:br/>
              <w:t xml:space="preserve">  deterministic replay streams</w:t>
              <w:br/>
              <w:t xml:space="preserve">          |</w:t>
              <w:br/>
              <w:t xml:space="preserve">          v</w:t>
              <w:br/>
              <w:t>SCHEMA + QUALITY CONTROL</w:t>
              <w:br/>
              <w:t xml:space="preserve">          |</w:t>
              <w:br/>
              <w:t xml:space="preserve">          v</w:t>
              <w:br/>
              <w:t>REPRESENT -&gt; DETECT -&gt; PREDICT -&gt; TRUST</w:t>
              <w:br/>
              <w:t xml:space="preserve">          |</w:t>
              <w:br/>
              <w:t xml:space="preserve">          +--&gt; PASS / REVIEW / HIGH RISK</w:t>
              <w:br/>
              <w:t xml:space="preserve">          |</w:t>
              <w:br/>
              <w:t xml:space="preserve">          v</w:t>
              <w:br/>
              <w:t>EXPLAIN (verified evidence compiler + optional LLM support)</w:t>
              <w:br/>
              <w:t xml:space="preserve">          |</w:t>
              <w:br/>
              <w:t xml:space="preserve">          v</w:t>
              <w:br/>
              <w:t>QA DASHBOARD / API / AUDIT LOG</w:t>
            </w:r>
          </w:p>
        </w:tc>
      </w:tr>
    </w:tbl>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2E7D77"/>
              </w:rPr>
              <w:t>Demonstration wording</w:t>
            </w:r>
          </w:p>
          <w:p>
            <w:pPr>
              <w:spacing w:after="0"/>
            </w:pPr>
            <w:r>
              <w:t>Use “accelerated measurement-stream replay” or “software replay of staged burn-in trajectories.” Do not describe a three-minute demo as performing a physical 168-hour burn-in.</w:t>
            </w:r>
          </w:p>
        </w:tc>
      </w:tr>
    </w:tbl>
    <w:p>
      <w:pPr>
        <w:pStyle w:val="Heading1"/>
        <w:keepNext/>
      </w:pPr>
      <w:r>
        <w:t>4. Research Problem, Gap, and Publication Thesis</w:t>
      </w:r>
    </w:p>
    <w:p>
      <w:pPr>
        <w:spacing w:after="100" w:line="254" w:lineRule="auto"/>
      </w:pPr>
      <w:r>
        <w:t>A 2025 Computers &amp; Industrial Engineering study already proposed a data-driven semiconductor burn-in quality framework using production data, PAA/PCA feature extraction, a probabilistic SVR, and Bayesian optimization, with synthetic and real-world evaluation. The real data were confidential. [R2] This establishes that data-driven burn-in quality prediction is already a legitimate research direction, not an empty field.</w:t>
      </w:r>
    </w:p>
    <w:p>
      <w:pPr>
        <w:spacing w:after="100" w:line="254" w:lineRule="auto"/>
      </w:pPr>
      <w:r>
        <w:t>The defensible gap for this project is therefore not “AI for burn-in.” It is the controlled study of label-efficient, lot-conditioned temporal screening when the production distribution changes, together with uncertainty mechanisms that explicitly expose when calibration and screening confidence degrade. The physics-informed BurnIn-Bench is part of the scientific contribution because it gives exact latent mechanism and operational-outcome ground truth that can be manipulated systematically while keeping evaluation reproducible.</w:t>
      </w:r>
    </w:p>
    <w:p>
      <w:pPr>
        <w:pStyle w:val="Heading2"/>
        <w:keepNext/>
      </w:pPr>
      <w:r>
        <w:t>4.1 Working research thesis</w:t>
      </w: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2E7D77"/>
              </w:rPr>
              <w:t>Core thesis</w:t>
            </w:r>
          </w:p>
          <w:p>
            <w:pPr>
              <w:spacing w:after="0"/>
            </w:pPr>
            <w:r>
              <w:t>A lot-conditioned, label-efficient temporal screening framework can improve latent-defect detection and early drift prediction over static and conventional baselines, while conformal uncertainty and shift monitoring can make the system less overconfident when a new production lot departs from the calibration distribution.</w:t>
            </w:r>
          </w:p>
        </w:tc>
      </w:tr>
    </w:tbl>
    <w:p>
      <w:pPr>
        <w:pStyle w:val="Heading2"/>
        <w:keepNext/>
      </w:pPr>
      <w:r>
        <w:t>4.2 What the paper can legitimately contribute</w:t>
      </w:r>
    </w:p>
    <w:p>
      <w:pPr>
        <w:pStyle w:val="ListBullet"/>
        <w:spacing w:after="40"/>
        <w:ind w:left="317"/>
      </w:pPr>
      <w:r>
        <w:t>A controlled physics-informed benchmark for staged latent-defect screening with explicit nuisance factors and hidden test configurations.</w:t>
      </w:r>
    </w:p>
    <w:p>
      <w:pPr>
        <w:pStyle w:val="ListBullet"/>
        <w:spacing w:after="40"/>
        <w:ind w:left="317"/>
      </w:pPr>
      <w:r>
        <w:t>A lot-conditioned representation and screening formulation evaluated under low-label and unseen-lot conditions.</w:t>
      </w:r>
    </w:p>
    <w:p>
      <w:pPr>
        <w:pStyle w:val="ListBullet"/>
        <w:spacing w:after="40"/>
        <w:ind w:left="317"/>
      </w:pPr>
      <w:r>
        <w:t>A focused empirical characterization of CQR interval coverage and Split Conformal classification prediction sets as cross-lot distributions shift.</w:t>
      </w:r>
    </w:p>
    <w:p>
      <w:pPr>
        <w:pStyle w:val="ListBullet"/>
        <w:spacing w:after="40"/>
        <w:ind w:left="317"/>
      </w:pPr>
      <w:r>
        <w:t>A leakage-safe evaluation protocol that keeps future stages hidden and evaluates by production lot rather than random component split alone.</w:t>
      </w:r>
    </w:p>
    <w:p>
      <w:pPr>
        <w:pStyle w:val="ListBullet"/>
        <w:spacing w:after="40"/>
        <w:ind w:left="317"/>
      </w:pPr>
      <w:r>
        <w:t>An auditable software implementation in which the decision layer remains separate from the supporting language-model explanation layer.</w:t>
      </w:r>
    </w:p>
    <w:p>
      <w:pPr>
        <w:pStyle w:val="Heading2"/>
        <w:keepNext/>
      </w:pPr>
      <w:r>
        <w:t>4.3 What would invalidate the publication thesis</w:t>
      </w:r>
    </w:p>
    <w:p>
      <w:pPr>
        <w:pStyle w:val="ListBullet"/>
        <w:spacing w:after="40"/>
        <w:ind w:left="317"/>
      </w:pPr>
      <w:r>
        <w:t>BurnIn-Bench is trivially solvable from one feature or a generator artifact.</w:t>
      </w:r>
    </w:p>
    <w:p>
      <w:pPr>
        <w:pStyle w:val="ListBullet"/>
        <w:spacing w:after="40"/>
        <w:ind w:left="317"/>
      </w:pPr>
      <w:r>
        <w:t>Random component splitting creates large gains that disappear under unseen-lot evaluation.</w:t>
      </w:r>
    </w:p>
    <w:p>
      <w:pPr>
        <w:pStyle w:val="ListBullet"/>
        <w:spacing w:after="40"/>
        <w:ind w:left="317"/>
      </w:pPr>
      <w:r>
        <w:t>Self-supervision provides no reproducible low-label benefit.</w:t>
      </w:r>
    </w:p>
    <w:p>
      <w:pPr>
        <w:pStyle w:val="ListBullet"/>
        <w:spacing w:after="40"/>
        <w:ind w:left="317"/>
      </w:pPr>
      <w:r>
        <w:t>Conformal intervals miss their nominal target even in the declared calibration regime, or the calibration experiment is contaminated by future / test-lot information.</w:t>
      </w:r>
    </w:p>
    <w:p>
      <w:pPr>
        <w:pStyle w:val="ListBullet"/>
        <w:spacing w:after="40"/>
        <w:ind w:left="317"/>
      </w:pPr>
      <w:r>
        <w:t>The method improves average accuracy but increases false negatives or produces unsafe overconfidence.</w:t>
      </w:r>
    </w:p>
    <w:p>
      <w:pPr>
        <w:pStyle w:val="ListBullet"/>
        <w:spacing w:after="40"/>
        <w:ind w:left="317"/>
      </w:pPr>
      <w:r>
        <w:t>Results are obtained only on a single synthetic generator and cannot survive proxy-data or mechanism-holdout checks.</w:t>
      </w:r>
    </w:p>
    <w:p>
      <w:pPr>
        <w:pStyle w:val="Heading1"/>
        <w:keepNext/>
      </w:pPr>
      <w:r>
        <w:t>5. Research Questions and Hypotheses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83A5A"/>
            <w:tcMar>
              <w:top w:w="80" w:type="dxa"/>
              <w:start w:w="90" w:type="dxa"/>
              <w:bottom w:w="80" w:type="dxa"/>
              <w:end w:w="90" w:type="dxa"/>
            </w:tcMar>
            <w:vAlign w:val="center"/>
          </w:tcPr>
          <w:p>
            <w:pPr>
              <w:jc w:val="left"/>
            </w:pPr>
            <w:r>
              <w:rPr>
                <w:b/>
                <w:color w:val="FFFFFF"/>
                <w:sz w:val="16"/>
              </w:rPr>
              <w:t>ID</w:t>
            </w:r>
          </w:p>
        </w:tc>
        <w:tc>
          <w:tcPr>
            <w:tcW w:type="dxa" w:w="5472"/>
            <w:shd w:fill="183A5A"/>
            <w:tcMar>
              <w:top w:w="80" w:type="dxa"/>
              <w:start w:w="90" w:type="dxa"/>
              <w:bottom w:w="80" w:type="dxa"/>
              <w:end w:w="90" w:type="dxa"/>
            </w:tcMar>
            <w:vAlign w:val="center"/>
          </w:tcPr>
          <w:p>
            <w:pPr>
              <w:jc w:val="left"/>
            </w:pPr>
            <w:r>
              <w:rPr>
                <w:b/>
                <w:color w:val="FFFFFF"/>
                <w:sz w:val="16"/>
              </w:rPr>
              <w:t>Question / hypothesis</w:t>
            </w:r>
          </w:p>
        </w:tc>
        <w:tc>
          <w:tcPr>
            <w:tcW w:type="dxa" w:w="3024"/>
            <w:shd w:fill="183A5A"/>
            <w:tcMar>
              <w:top w:w="80" w:type="dxa"/>
              <w:start w:w="90" w:type="dxa"/>
              <w:bottom w:w="80" w:type="dxa"/>
              <w:end w:w="90" w:type="dxa"/>
            </w:tcMar>
            <w:vAlign w:val="center"/>
          </w:tcPr>
          <w:p>
            <w:pPr>
              <w:jc w:val="left"/>
            </w:pPr>
            <w:r>
              <w:rPr>
                <w:b/>
                <w:color w:val="FFFFFF"/>
                <w:sz w:val="16"/>
              </w:rPr>
              <w:t>Primary evaluation</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RQ1 / H1</w:t>
            </w:r>
          </w:p>
        </w:tc>
        <w:tc>
          <w:tcPr>
            <w:tcW w:type="dxa" w:w="5472"/>
            <w:shd w:fill="FFFFFF"/>
            <w:tcMar>
              <w:top w:w="80" w:type="dxa"/>
              <w:start w:w="90" w:type="dxa"/>
              <w:bottom w:w="80" w:type="dxa"/>
              <w:end w:w="90" w:type="dxa"/>
            </w:tcMar>
            <w:vAlign w:val="top"/>
          </w:tcPr>
          <w:p>
            <w:pPr>
              <w:spacing w:after="0"/>
            </w:pPr>
            <w:r>
              <w:rPr>
                <w:color w:val="1F2933"/>
                <w:sz w:val="16"/>
              </w:rPr>
              <w:t>Can peer-relative temporal modelling detect latent defects that absolute thresholds miss?</w:t>
            </w:r>
          </w:p>
        </w:tc>
        <w:tc>
          <w:tcPr>
            <w:tcW w:type="dxa" w:w="3024"/>
            <w:shd w:fill="FFFFFF"/>
            <w:tcMar>
              <w:top w:w="80" w:type="dxa"/>
              <w:start w:w="90" w:type="dxa"/>
              <w:bottom w:w="80" w:type="dxa"/>
              <w:end w:w="90" w:type="dxa"/>
            </w:tcMar>
            <w:vAlign w:val="top"/>
          </w:tcPr>
          <w:p>
            <w:pPr>
              <w:spacing w:after="0"/>
            </w:pPr>
            <w:r>
              <w:rPr>
                <w:color w:val="1F2933"/>
                <w:sz w:val="16"/>
              </w:rPr>
              <w:t>Static threshold vs lot statistics vs proposed model; FNR + early-warning lead time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RQ2 / H2</w:t>
            </w:r>
          </w:p>
        </w:tc>
        <w:tc>
          <w:tcPr>
            <w:tcW w:type="dxa" w:w="5472"/>
            <w:shd w:fill="F4F7F9"/>
            <w:tcMar>
              <w:top w:w="80" w:type="dxa"/>
              <w:start w:w="90" w:type="dxa"/>
              <w:bottom w:w="80" w:type="dxa"/>
              <w:end w:w="90" w:type="dxa"/>
            </w:tcMar>
            <w:vAlign w:val="top"/>
          </w:tcPr>
          <w:p>
            <w:pPr>
              <w:spacing w:after="0"/>
            </w:pPr>
            <w:r>
              <w:rPr>
                <w:color w:val="1F2933"/>
                <w:sz w:val="16"/>
              </w:rPr>
              <w:t>Does self-supervised representation learning improve screening as labels become scarce?</w:t>
            </w:r>
          </w:p>
        </w:tc>
        <w:tc>
          <w:tcPr>
            <w:tcW w:type="dxa" w:w="3024"/>
            <w:shd w:fill="F4F7F9"/>
            <w:tcMar>
              <w:top w:w="80" w:type="dxa"/>
              <w:start w:w="90" w:type="dxa"/>
              <w:bottom w:w="80" w:type="dxa"/>
              <w:end w:w="90" w:type="dxa"/>
            </w:tcMar>
            <w:vAlign w:val="top"/>
          </w:tcPr>
          <w:p>
            <w:pPr>
              <w:spacing w:after="0"/>
            </w:pPr>
            <w:r>
              <w:rPr>
                <w:color w:val="1F2933"/>
                <w:sz w:val="16"/>
              </w:rPr>
              <w:t>100 / 50 / 20 / 10 / 5 / 1% label budgets</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RQ3 / H3</w:t>
            </w:r>
          </w:p>
        </w:tc>
        <w:tc>
          <w:tcPr>
            <w:tcW w:type="dxa" w:w="5472"/>
            <w:shd w:fill="FFFFFF"/>
            <w:tcMar>
              <w:top w:w="80" w:type="dxa"/>
              <w:start w:w="90" w:type="dxa"/>
              <w:bottom w:w="80" w:type="dxa"/>
              <w:end w:w="90" w:type="dxa"/>
            </w:tcMar>
            <w:vAlign w:val="top"/>
          </w:tcPr>
          <w:p>
            <w:pPr>
              <w:spacing w:after="0"/>
            </w:pPr>
            <w:r>
              <w:rPr>
                <w:color w:val="1F2933"/>
                <w:sz w:val="16"/>
              </w:rPr>
              <w:t>Does the method generalize to unseen production lots?</w:t>
            </w:r>
          </w:p>
        </w:tc>
        <w:tc>
          <w:tcPr>
            <w:tcW w:type="dxa" w:w="3024"/>
            <w:shd w:fill="FFFFFF"/>
            <w:tcMar>
              <w:top w:w="80" w:type="dxa"/>
              <w:start w:w="90" w:type="dxa"/>
              <w:bottom w:w="80" w:type="dxa"/>
              <w:end w:w="90" w:type="dxa"/>
            </w:tcMar>
            <w:vAlign w:val="top"/>
          </w:tcPr>
          <w:p>
            <w:pPr>
              <w:spacing w:after="0"/>
            </w:pPr>
            <w:r>
              <w:rPr>
                <w:color w:val="1F2933"/>
                <w:sz w:val="16"/>
              </w:rPr>
              <w:t>Leave-one-lot-out evaluation; report per-lot and pooled results</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RQ4 / H4</w:t>
            </w:r>
          </w:p>
        </w:tc>
        <w:tc>
          <w:tcPr>
            <w:tcW w:type="dxa" w:w="5472"/>
            <w:shd w:fill="F4F7F9"/>
            <w:tcMar>
              <w:top w:w="80" w:type="dxa"/>
              <w:start w:w="90" w:type="dxa"/>
              <w:bottom w:w="80" w:type="dxa"/>
              <w:end w:w="90" w:type="dxa"/>
            </w:tcMar>
            <w:vAlign w:val="top"/>
          </w:tcPr>
          <w:p>
            <w:pPr>
              <w:spacing w:after="0"/>
            </w:pPr>
            <w:r>
              <w:rPr>
                <w:color w:val="1F2933"/>
                <w:sz w:val="16"/>
              </w:rPr>
              <w:t>Can the system distinguish global lot shifts from local component abnormality?</w:t>
            </w:r>
          </w:p>
        </w:tc>
        <w:tc>
          <w:tcPr>
            <w:tcW w:type="dxa" w:w="3024"/>
            <w:shd w:fill="F4F7F9"/>
            <w:tcMar>
              <w:top w:w="80" w:type="dxa"/>
              <w:start w:w="90" w:type="dxa"/>
              <w:bottom w:w="80" w:type="dxa"/>
              <w:end w:w="90" w:type="dxa"/>
            </w:tcMar>
            <w:vAlign w:val="top"/>
          </w:tcPr>
          <w:p>
            <w:pPr>
              <w:spacing w:after="0"/>
            </w:pPr>
            <w:r>
              <w:rPr>
                <w:color w:val="1F2933"/>
                <w:sz w:val="16"/>
              </w:rPr>
              <w:t>Baseline, variance, noise, trajectory, and prevalence shifts</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RQ5 / H5</w:t>
            </w:r>
          </w:p>
        </w:tc>
        <w:tc>
          <w:tcPr>
            <w:tcW w:type="dxa" w:w="5472"/>
            <w:shd w:fill="FFFFFF"/>
            <w:tcMar>
              <w:top w:w="80" w:type="dxa"/>
              <w:start w:w="90" w:type="dxa"/>
              <w:bottom w:w="80" w:type="dxa"/>
              <w:end w:w="90" w:type="dxa"/>
            </w:tcMar>
            <w:vAlign w:val="top"/>
          </w:tcPr>
          <w:p>
            <w:pPr>
              <w:spacing w:after="0"/>
            </w:pPr>
            <w:r>
              <w:rPr>
                <w:color w:val="1F2933"/>
                <w:sz w:val="16"/>
              </w:rPr>
              <w:t>Can 0h + 24h observations predict 168h drift accurately enough for early screening?</w:t>
            </w:r>
          </w:p>
        </w:tc>
        <w:tc>
          <w:tcPr>
            <w:tcW w:type="dxa" w:w="3024"/>
            <w:shd w:fill="FFFFFF"/>
            <w:tcMar>
              <w:top w:w="80" w:type="dxa"/>
              <w:start w:w="90" w:type="dxa"/>
              <w:bottom w:w="80" w:type="dxa"/>
              <w:end w:w="90" w:type="dxa"/>
            </w:tcMar>
            <w:vAlign w:val="top"/>
          </w:tcPr>
          <w:p>
            <w:pPr>
              <w:spacing w:after="0"/>
            </w:pPr>
            <w:r>
              <w:rPr>
                <w:color w:val="1F2933"/>
                <w:sz w:val="16"/>
              </w:rPr>
              <w:t>Point error + lead time + interval width/coverage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RQ6 / H6</w:t>
            </w:r>
          </w:p>
        </w:tc>
        <w:tc>
          <w:tcPr>
            <w:tcW w:type="dxa" w:w="5472"/>
            <w:shd w:fill="F4F7F9"/>
            <w:tcMar>
              <w:top w:w="80" w:type="dxa"/>
              <w:start w:w="90" w:type="dxa"/>
              <w:bottom w:w="80" w:type="dxa"/>
              <w:end w:w="90" w:type="dxa"/>
            </w:tcMar>
            <w:vAlign w:val="top"/>
          </w:tcPr>
          <w:p>
            <w:pPr>
              <w:spacing w:after="0"/>
            </w:pPr>
            <w:r>
              <w:rPr>
                <w:color w:val="1F2933"/>
                <w:sz w:val="16"/>
              </w:rPr>
              <w:t>Does shift monitoring reduce unsafe overconfidence?</w:t>
            </w:r>
          </w:p>
        </w:tc>
        <w:tc>
          <w:tcPr>
            <w:tcW w:type="dxa" w:w="3024"/>
            <w:shd w:fill="F4F7F9"/>
            <w:tcMar>
              <w:top w:w="80" w:type="dxa"/>
              <w:start w:w="90" w:type="dxa"/>
              <w:bottom w:w="80" w:type="dxa"/>
              <w:end w:w="90" w:type="dxa"/>
            </w:tcMar>
            <w:vAlign w:val="top"/>
          </w:tcPr>
          <w:p>
            <w:pPr>
              <w:spacing w:after="0"/>
            </w:pPr>
            <w:r>
              <w:rPr>
                <w:color w:val="1F2933"/>
                <w:sz w:val="16"/>
              </w:rPr>
              <w:t>Risk/coverage and FNR under shifted lots</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RQ7 / H7</w:t>
            </w:r>
          </w:p>
        </w:tc>
        <w:tc>
          <w:tcPr>
            <w:tcW w:type="dxa" w:w="5472"/>
            <w:shd w:fill="FFFFFF"/>
            <w:tcMar>
              <w:top w:w="80" w:type="dxa"/>
              <w:start w:w="90" w:type="dxa"/>
              <w:bottom w:w="80" w:type="dxa"/>
              <w:end w:w="90" w:type="dxa"/>
            </w:tcMar>
            <w:vAlign w:val="top"/>
          </w:tcPr>
          <w:p>
            <w:pPr>
              <w:spacing w:after="0"/>
            </w:pPr>
            <w:r>
              <w:rPr>
                <w:color w:val="1F2933"/>
                <w:sz w:val="16"/>
              </w:rPr>
              <w:t>How does conformal calibration degrade under cross-lot distribution shift?</w:t>
            </w:r>
          </w:p>
        </w:tc>
        <w:tc>
          <w:tcPr>
            <w:tcW w:type="dxa" w:w="3024"/>
            <w:shd w:fill="FFFFFF"/>
            <w:tcMar>
              <w:top w:w="80" w:type="dxa"/>
              <w:start w:w="90" w:type="dxa"/>
              <w:bottom w:w="80" w:type="dxa"/>
              <w:end w:w="90" w:type="dxa"/>
            </w:tcMar>
            <w:vAlign w:val="top"/>
          </w:tcPr>
          <w:p>
            <w:pPr>
              <w:spacing w:after="0"/>
            </w:pPr>
            <w:r>
              <w:rPr>
                <w:color w:val="1F2933"/>
                <w:sz w:val="16"/>
              </w:rPr>
              <w:t>In-distribution vs progressively shifted lots; interval coverage, width, prediction-set ambiguity, FNR</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RQ8</w:t>
            </w:r>
          </w:p>
        </w:tc>
        <w:tc>
          <w:tcPr>
            <w:tcW w:type="dxa" w:w="5472"/>
            <w:shd w:fill="F4F7F9"/>
            <w:tcMar>
              <w:top w:w="80" w:type="dxa"/>
              <w:start w:w="90" w:type="dxa"/>
              <w:bottom w:w="80" w:type="dxa"/>
              <w:end w:w="90" w:type="dxa"/>
            </w:tcMar>
            <w:vAlign w:val="top"/>
          </w:tcPr>
          <w:p>
            <w:pPr>
              <w:spacing w:after="0"/>
            </w:pPr>
            <w:r>
              <w:rPr>
                <w:color w:val="1F2933"/>
                <w:sz w:val="16"/>
              </w:rPr>
              <w:t>Does verified evidence packaging improve QA usability without changing the screening decision?</w:t>
            </w:r>
          </w:p>
        </w:tc>
        <w:tc>
          <w:tcPr>
            <w:tcW w:type="dxa" w:w="3024"/>
            <w:shd w:fill="F4F7F9"/>
            <w:tcMar>
              <w:top w:w="80" w:type="dxa"/>
              <w:start w:w="90" w:type="dxa"/>
              <w:bottom w:w="80" w:type="dxa"/>
              <w:end w:w="90" w:type="dxa"/>
            </w:tcMar>
            <w:vAlign w:val="top"/>
          </w:tcPr>
          <w:p>
            <w:pPr>
              <w:spacing w:after="0"/>
            </w:pPr>
            <w:r>
              <w:rPr>
                <w:color w:val="1F2933"/>
                <w:sz w:val="16"/>
              </w:rPr>
              <w:t>Structured template vs optional LLM support; unsupported-claim rate and review time</w:t>
            </w:r>
          </w:p>
        </w:tc>
      </w:tr>
    </w:tbl>
    <w:p>
      <w:pPr>
        <w:spacing w:after="40"/>
      </w:pPr>
    </w:p>
    <w:p>
      <w:pPr>
        <w:pStyle w:val="Heading2"/>
        <w:keepNext/>
      </w:pPr>
      <w:r>
        <w:t>5.1 Core paper hypothesis about conformal calibration</w:t>
      </w:r>
    </w:p>
    <w:p>
      <w:pPr>
        <w:spacing w:after="100" w:line="254" w:lineRule="auto"/>
      </w:pPr>
      <w:r>
        <w:t>The project must not assume that conformal calibration remains equally informative when the deployment distribution changes. Under the declared calibration regime and appropriate assumptions, conformal methods provide finite-sample marginal coverage guarantees. The core experiment instead asks what happens when production-lot distributions move away from that regime. Time-series dependence makes this issue especially important, because standard exchangeability assumptions are not automatically satisfied for temporally structured data. [R13][R14]</w:t>
      </w:r>
    </w:p>
    <w:p>
      <w:pPr>
        <w:pStyle w:val="Heading2"/>
        <w:keepNext/>
      </w:pPr>
      <w:r>
        <w:t>5.2 Methodological discipline</w:t>
      </w:r>
    </w:p>
    <w:p>
      <w:pPr>
        <w:spacing w:after="100" w:line="254" w:lineRule="auto"/>
      </w:pPr>
      <w:r>
        <w:t>A negative result is acceptable and scientifically useful. If CQR coverage collapses under a particular shift, report it. If lot adaptation restores coverage but widens intervals, report the trade-off. If self-supervision does not help, remove it from the paper’s central claim. The architecture is modular so that scientific evidence, rather than technology count, determines the final narrative.</w:t>
      </w:r>
    </w:p>
    <w:p>
      <w:pPr>
        <w:pStyle w:val="Heading1"/>
        <w:keepNext/>
      </w:pPr>
      <w:r>
        <w:t>6. Final System Architecture: REPRESENT -&gt; DETECT -&gt; PREDICT -&gt; TRUST -&gt; EXPLAIN</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DATA SOURCES</w:t>
              <w:br/>
              <w:t xml:space="preserve">  +-----------------------+---------------------------+</w:t>
              <w:br/>
              <w:t xml:space="preserve">  |                       |                           |</w:t>
              <w:br/>
              <w:t>PUBLIC / PROXY       BURNIN-BENCH              REPLAY STREAM</w:t>
              <w:br/>
              <w:t xml:space="preserve">  DATA              six-layer generator        same schema</w:t>
              <w:br/>
              <w:t xml:space="preserve">  |                       |                           |</w:t>
              <w:br/>
              <w:t xml:space="preserve">  +-----------------------+---------------------------+</w:t>
              <w:br/>
              <w:t xml:space="preserve">                          v</w:t>
              <w:br/>
              <w:t xml:space="preserve">                 SCHEMA + DATA QUALITY</w:t>
              <w:br/>
              <w:t xml:space="preserve">                          |</w:t>
              <w:br/>
              <w:t xml:space="preserve">                          v</w:t>
              <w:br/>
              <w:t xml:space="preserve">          +--------------------------------+</w:t>
              <w:br/>
              <w:t xml:space="preserve">          |         RESEARCH CORE           |</w:t>
              <w:br/>
              <w:t xml:space="preserve">          | REPRESENT -&gt; DETECT -&gt; PREDICT |</w:t>
              <w:br/>
              <w:t xml:space="preserve">          |                    -&gt; TRUST     |</w:t>
              <w:br/>
              <w:t xml:space="preserve">          +--------------------------------+</w:t>
              <w:br/>
              <w:t xml:space="preserve">                          |</w:t>
              <w:br/>
              <w:t xml:space="preserve">             +------------+-------------+</w:t>
              <w:br/>
              <w:t xml:space="preserve">             |                          |</w:t>
              <w:br/>
              <w:t xml:space="preserve">         DECISION                 EVIDENCE STORE</w:t>
              <w:br/>
              <w:t xml:space="preserve">      PASS/REVIEW/HIGH RISK             |</w:t>
              <w:br/>
              <w:t xml:space="preserve">             |                          v</w:t>
              <w:br/>
              <w:t xml:space="preserve">             |                 EXPLAIN / SUPPORTING</w:t>
              <w:br/>
              <w:t xml:space="preserve">             |                 DIAGNOSTIC LAYER</w:t>
              <w:br/>
              <w:t xml:space="preserve">             |                          |</w:t>
              <w:br/>
              <w:t xml:space="preserve">             +------------+-------------+</w:t>
              <w:br/>
              <w:t xml:space="preserve">                          v</w:t>
              <w:br/>
              <w:t xml:space="preserve">                   QA DASHBOARD / API</w:t>
              <w:br/>
            </w:r>
          </w:p>
        </w:tc>
      </w:tr>
    </w:tbl>
    <w:p>
      <w:pPr>
        <w:pStyle w:val="Heading2"/>
        <w:keepNext/>
      </w:pPr>
      <w:r>
        <w:t>6.1 Core research engines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83A5A"/>
            <w:tcMar>
              <w:top w:w="80" w:type="dxa"/>
              <w:start w:w="90" w:type="dxa"/>
              <w:bottom w:w="80" w:type="dxa"/>
              <w:end w:w="90" w:type="dxa"/>
            </w:tcMar>
            <w:vAlign w:val="center"/>
          </w:tcPr>
          <w:p>
            <w:pPr>
              <w:jc w:val="left"/>
            </w:pPr>
            <w:r>
              <w:rPr>
                <w:b/>
                <w:color w:val="FFFFFF"/>
                <w:sz w:val="16"/>
              </w:rPr>
              <w:t>Engine</w:t>
            </w:r>
          </w:p>
        </w:tc>
        <w:tc>
          <w:tcPr>
            <w:tcW w:type="dxa" w:w="5760"/>
            <w:shd w:fill="183A5A"/>
            <w:tcMar>
              <w:top w:w="80" w:type="dxa"/>
              <w:start w:w="90" w:type="dxa"/>
              <w:bottom w:w="80" w:type="dxa"/>
              <w:end w:w="90" w:type="dxa"/>
            </w:tcMar>
            <w:vAlign w:val="center"/>
          </w:tcPr>
          <w:p>
            <w:pPr>
              <w:jc w:val="left"/>
            </w:pPr>
            <w:r>
              <w:rPr>
                <w:b/>
                <w:color w:val="FFFFFF"/>
                <w:sz w:val="16"/>
              </w:rPr>
              <w:t>Core computation</w:t>
            </w:r>
          </w:p>
        </w:tc>
        <w:tc>
          <w:tcPr>
            <w:tcW w:type="dxa" w:w="2592"/>
            <w:shd w:fill="183A5A"/>
            <w:tcMar>
              <w:top w:w="80" w:type="dxa"/>
              <w:start w:w="90" w:type="dxa"/>
              <w:bottom w:w="80" w:type="dxa"/>
              <w:end w:w="90" w:type="dxa"/>
            </w:tcMar>
            <w:vAlign w:val="center"/>
          </w:tcPr>
          <w:p>
            <w:pPr>
              <w:jc w:val="left"/>
            </w:pPr>
            <w:r>
              <w:rPr>
                <w:b/>
                <w:color w:val="FFFFFF"/>
                <w:sz w:val="16"/>
              </w:rPr>
              <w:t>Required output</w:t>
            </w:r>
          </w:p>
        </w:tc>
      </w:tr>
      <w:tr>
        <w:trPr>
          <w:cantSplit/>
        </w:trPr>
        <w:tc>
          <w:tcPr>
            <w:tcW w:type="dxa" w:w="1440"/>
            <w:shd w:fill="FFFFFF"/>
            <w:tcMar>
              <w:top w:w="80" w:type="dxa"/>
              <w:start w:w="90" w:type="dxa"/>
              <w:bottom w:w="80" w:type="dxa"/>
              <w:end w:w="90" w:type="dxa"/>
            </w:tcMar>
            <w:vAlign w:val="top"/>
          </w:tcPr>
          <w:p>
            <w:pPr>
              <w:spacing w:after="0"/>
            </w:pPr>
            <w:r>
              <w:rPr>
                <w:color w:val="1F2933"/>
                <w:sz w:val="16"/>
              </w:rPr>
              <w:t>REPRESENT</w:t>
            </w:r>
          </w:p>
        </w:tc>
        <w:tc>
          <w:tcPr>
            <w:tcW w:type="dxa" w:w="5760"/>
            <w:shd w:fill="FFFFFF"/>
            <w:tcMar>
              <w:top w:w="80" w:type="dxa"/>
              <w:start w:w="90" w:type="dxa"/>
              <w:bottom w:w="80" w:type="dxa"/>
              <w:end w:w="90" w:type="dxa"/>
            </w:tcMar>
            <w:vAlign w:val="top"/>
          </w:tcPr>
          <w:p>
            <w:pPr>
              <w:spacing w:after="0"/>
            </w:pPr>
            <w:r>
              <w:rPr>
                <w:color w:val="1F2933"/>
                <w:sz w:val="16"/>
              </w:rPr>
              <w:t>Self-supervised temporal encoder with absolute + lot-relative views, masking/denoising/contrastive candidates</w:t>
            </w:r>
          </w:p>
        </w:tc>
        <w:tc>
          <w:tcPr>
            <w:tcW w:type="dxa" w:w="2592"/>
            <w:shd w:fill="FFFFFF"/>
            <w:tcMar>
              <w:top w:w="80" w:type="dxa"/>
              <w:start w:w="90" w:type="dxa"/>
              <w:bottom w:w="80" w:type="dxa"/>
              <w:end w:w="90" w:type="dxa"/>
            </w:tcMar>
            <w:vAlign w:val="top"/>
          </w:tcPr>
          <w:p>
            <w:pPr>
              <w:spacing w:after="0"/>
            </w:pPr>
            <w:r>
              <w:rPr>
                <w:color w:val="1F2933"/>
                <w:sz w:val="16"/>
              </w:rPr>
              <w:t>Component embedding / latent representation</w:t>
            </w:r>
          </w:p>
        </w:tc>
      </w:tr>
      <w:tr>
        <w:trPr>
          <w:cantSplit/>
        </w:trPr>
        <w:tc>
          <w:tcPr>
            <w:tcW w:type="dxa" w:w="1440"/>
            <w:shd w:fill="F4F7F9"/>
            <w:tcMar>
              <w:top w:w="80" w:type="dxa"/>
              <w:start w:w="90" w:type="dxa"/>
              <w:bottom w:w="80" w:type="dxa"/>
              <w:end w:w="90" w:type="dxa"/>
            </w:tcMar>
            <w:vAlign w:val="top"/>
          </w:tcPr>
          <w:p>
            <w:pPr>
              <w:spacing w:after="0"/>
            </w:pPr>
            <w:r>
              <w:rPr>
                <w:color w:val="1F2933"/>
                <w:sz w:val="16"/>
              </w:rPr>
              <w:t>DETECT</w:t>
            </w:r>
          </w:p>
        </w:tc>
        <w:tc>
          <w:tcPr>
            <w:tcW w:type="dxa" w:w="5760"/>
            <w:shd w:fill="F4F7F9"/>
            <w:tcMar>
              <w:top w:w="80" w:type="dxa"/>
              <w:start w:w="90" w:type="dxa"/>
              <w:bottom w:w="80" w:type="dxa"/>
              <w:end w:w="90" w:type="dxa"/>
            </w:tcMar>
            <w:vAlign w:val="top"/>
          </w:tcPr>
          <w:p>
            <w:pPr>
              <w:spacing w:after="0"/>
            </w:pPr>
            <w:r>
              <w:rPr>
                <w:color w:val="1F2933"/>
                <w:sz w:val="16"/>
              </w:rPr>
              <w:t>Absolute spec evidence + robust lot-relative deviation + temporal change + representation novelty + future-risk evidence</w:t>
            </w:r>
          </w:p>
        </w:tc>
        <w:tc>
          <w:tcPr>
            <w:tcW w:type="dxa" w:w="2592"/>
            <w:shd w:fill="F4F7F9"/>
            <w:tcMar>
              <w:top w:w="80" w:type="dxa"/>
              <w:start w:w="90" w:type="dxa"/>
              <w:bottom w:w="80" w:type="dxa"/>
              <w:end w:w="90" w:type="dxa"/>
            </w:tcMar>
            <w:vAlign w:val="top"/>
          </w:tcPr>
          <w:p>
            <w:pPr>
              <w:spacing w:after="0"/>
            </w:pPr>
            <w:r>
              <w:rPr>
                <w:color w:val="1F2933"/>
                <w:sz w:val="16"/>
              </w:rPr>
              <w:t>Anomaly score + evidence channels</w:t>
            </w:r>
          </w:p>
        </w:tc>
      </w:tr>
      <w:tr>
        <w:trPr>
          <w:cantSplit/>
        </w:trPr>
        <w:tc>
          <w:tcPr>
            <w:tcW w:type="dxa" w:w="1440"/>
            <w:shd w:fill="FFFFFF"/>
            <w:tcMar>
              <w:top w:w="80" w:type="dxa"/>
              <w:start w:w="90" w:type="dxa"/>
              <w:bottom w:w="80" w:type="dxa"/>
              <w:end w:w="90" w:type="dxa"/>
            </w:tcMar>
            <w:vAlign w:val="top"/>
          </w:tcPr>
          <w:p>
            <w:pPr>
              <w:spacing w:after="0"/>
            </w:pPr>
            <w:r>
              <w:rPr>
                <w:color w:val="1F2933"/>
                <w:sz w:val="16"/>
              </w:rPr>
              <w:t>PREDICT</w:t>
            </w:r>
          </w:p>
        </w:tc>
        <w:tc>
          <w:tcPr>
            <w:tcW w:type="dxa" w:w="5760"/>
            <w:shd w:fill="FFFFFF"/>
            <w:tcMar>
              <w:top w:w="80" w:type="dxa"/>
              <w:start w:w="90" w:type="dxa"/>
              <w:bottom w:w="80" w:type="dxa"/>
              <w:end w:w="90" w:type="dxa"/>
            </w:tcMar>
            <w:vAlign w:val="top"/>
          </w:tcPr>
          <w:p>
            <w:pPr>
              <w:spacing w:after="0"/>
            </w:pPr>
            <w:r>
              <w:rPr>
                <w:color w:val="1F2933"/>
                <w:sz w:val="16"/>
              </w:rPr>
              <w:t>0h + 24h early-input regression; later-stage scenarios separate</w:t>
            </w:r>
          </w:p>
        </w:tc>
        <w:tc>
          <w:tcPr>
            <w:tcW w:type="dxa" w:w="2592"/>
            <w:shd w:fill="FFFFFF"/>
            <w:tcMar>
              <w:top w:w="80" w:type="dxa"/>
              <w:start w:w="90" w:type="dxa"/>
              <w:bottom w:w="80" w:type="dxa"/>
              <w:end w:w="90" w:type="dxa"/>
            </w:tcMar>
            <w:vAlign w:val="top"/>
          </w:tcPr>
          <w:p>
            <w:pPr>
              <w:spacing w:after="0"/>
            </w:pPr>
            <w:r>
              <w:rPr>
                <w:color w:val="1F2933"/>
                <w:sz w:val="16"/>
              </w:rPr>
              <w:t>168h point prediction + predictive interval</w:t>
            </w:r>
          </w:p>
        </w:tc>
      </w:tr>
      <w:tr>
        <w:trPr>
          <w:cantSplit/>
        </w:trPr>
        <w:tc>
          <w:tcPr>
            <w:tcW w:type="dxa" w:w="1440"/>
            <w:shd w:fill="F4F7F9"/>
            <w:tcMar>
              <w:top w:w="80" w:type="dxa"/>
              <w:start w:w="90" w:type="dxa"/>
              <w:bottom w:w="80" w:type="dxa"/>
              <w:end w:w="90" w:type="dxa"/>
            </w:tcMar>
            <w:vAlign w:val="top"/>
          </w:tcPr>
          <w:p>
            <w:pPr>
              <w:spacing w:after="0"/>
            </w:pPr>
            <w:r>
              <w:rPr>
                <w:color w:val="1F2933"/>
                <w:sz w:val="16"/>
              </w:rPr>
              <w:t>TRUST</w:t>
            </w:r>
          </w:p>
        </w:tc>
        <w:tc>
          <w:tcPr>
            <w:tcW w:type="dxa" w:w="5760"/>
            <w:shd w:fill="F4F7F9"/>
            <w:tcMar>
              <w:top w:w="80" w:type="dxa"/>
              <w:start w:w="90" w:type="dxa"/>
              <w:bottom w:w="80" w:type="dxa"/>
              <w:end w:w="90" w:type="dxa"/>
            </w:tcMar>
            <w:vAlign w:val="top"/>
          </w:tcPr>
          <w:p>
            <w:pPr>
              <w:spacing w:after="0"/>
            </w:pPr>
            <w:r>
              <w:rPr>
                <w:color w:val="1F2933"/>
                <w:sz w:val="16"/>
              </w:rPr>
              <w:t>Cross-lot shift monitoring + CQR + Split Conformal + selective risk policy</w:t>
            </w:r>
          </w:p>
        </w:tc>
        <w:tc>
          <w:tcPr>
            <w:tcW w:type="dxa" w:w="2592"/>
            <w:shd w:fill="F4F7F9"/>
            <w:tcMar>
              <w:top w:w="80" w:type="dxa"/>
              <w:start w:w="90" w:type="dxa"/>
              <w:bottom w:w="80" w:type="dxa"/>
              <w:end w:w="90" w:type="dxa"/>
            </w:tcMar>
            <w:vAlign w:val="top"/>
          </w:tcPr>
          <w:p>
            <w:pPr>
              <w:spacing w:after="0"/>
            </w:pPr>
            <w:r>
              <w:rPr>
                <w:color w:val="1F2933"/>
                <w:sz w:val="16"/>
              </w:rPr>
              <w:t>Shift score + uncertainty + prediction set + review gate</w:t>
            </w:r>
          </w:p>
        </w:tc>
      </w:tr>
    </w:tbl>
    <w:p>
      <w:pPr>
        <w:spacing w:after="40"/>
      </w:pPr>
    </w:p>
    <w:p>
      <w:pPr>
        <w:pStyle w:val="Heading2"/>
        <w:keepNext/>
      </w:pPr>
      <w:r>
        <w:t>6.2 Decision authority</w:t>
      </w:r>
    </w:p>
    <w:p>
      <w:pPr>
        <w:spacing w:after="100" w:line="254" w:lineRule="auto"/>
      </w:pPr>
      <w:r>
        <w:t>PASS / REVIEW / HIGH RISK is generated by deterministic screening logic using engineering constraints, anomaly evidence, predicted risk, uncertainty, and shift state. The LLM is never an authority over disposition. This boundary is part of the system architecture, not merely a prompt instruction.</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1. Verified absolute-limit violation            -&gt; HIGH RISK</w:t>
              <w:br/>
              <w:t>2. Strong anomaly + credible future risk          -&gt; HIGH RISK / REVIEW</w:t>
              <w:br/>
              <w:t>3. Ambiguous conformal classification set         -&gt; REVIEW</w:t>
              <w:br/>
              <w:t>4. Severe cross-lot shift or poor trust state     -&gt; REVIEW</w:t>
              <w:br/>
              <w:t>5. Low anomaly + acceptable forecast + trust      -&gt; PASS</w:t>
              <w:br/>
              <w:br/>
              <w:t>LLM / AGENT: READ-ONLY CONSUMER OF VERIFIED EVIDENCE</w:t>
            </w:r>
          </w:p>
        </w:tc>
      </w:tr>
    </w:tbl>
    <w:p>
      <w:pPr>
        <w:pStyle w:val="Heading1"/>
        <w:keepNext/>
      </w:pPr>
      <w:r>
        <w:t>7. Data Model and Data Engineering</w:t>
      </w:r>
    </w:p>
    <w:p>
      <w:pPr>
        <w:spacing w:after="100" w:line="254" w:lineRule="auto"/>
      </w:pPr>
      <w:r>
        <w:t>The internal schema should be source-agnostic. The history document correctly emphasized that the software must not assume a specific ISRO communication protocol. The common schema should preserve enough metadata to reproduce every decision.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83A5A"/>
            <w:tcMar>
              <w:top w:w="80" w:type="dxa"/>
              <w:start w:w="90" w:type="dxa"/>
              <w:bottom w:w="80" w:type="dxa"/>
              <w:end w:w="90" w:type="dxa"/>
            </w:tcMar>
            <w:vAlign w:val="center"/>
          </w:tcPr>
          <w:p>
            <w:pPr>
              <w:jc w:val="left"/>
            </w:pPr>
            <w:r>
              <w:rPr>
                <w:b/>
                <w:color w:val="FFFFFF"/>
                <w:sz w:val="16"/>
              </w:rPr>
              <w:t>Field</w:t>
            </w:r>
          </w:p>
        </w:tc>
        <w:tc>
          <w:tcPr>
            <w:tcW w:type="dxa" w:w="2880"/>
            <w:shd w:fill="183A5A"/>
            <w:tcMar>
              <w:top w:w="80" w:type="dxa"/>
              <w:start w:w="90" w:type="dxa"/>
              <w:bottom w:w="80" w:type="dxa"/>
              <w:end w:w="90" w:type="dxa"/>
            </w:tcMar>
            <w:vAlign w:val="center"/>
          </w:tcPr>
          <w:p>
            <w:pPr>
              <w:jc w:val="left"/>
            </w:pPr>
            <w:r>
              <w:rPr>
                <w:b/>
                <w:color w:val="FFFFFF"/>
                <w:sz w:val="16"/>
              </w:rPr>
              <w:t>Purpose</w:t>
            </w:r>
          </w:p>
        </w:tc>
        <w:tc>
          <w:tcPr>
            <w:tcW w:type="dxa" w:w="5184"/>
            <w:shd w:fill="183A5A"/>
            <w:tcMar>
              <w:top w:w="80" w:type="dxa"/>
              <w:start w:w="90" w:type="dxa"/>
              <w:bottom w:w="80" w:type="dxa"/>
              <w:end w:w="90" w:type="dxa"/>
            </w:tcMar>
            <w:vAlign w:val="center"/>
          </w:tcPr>
          <w:p>
            <w:pPr>
              <w:jc w:val="left"/>
            </w:pPr>
            <w:r>
              <w:rPr>
                <w:b/>
                <w:color w:val="FFFFFF"/>
                <w:sz w:val="16"/>
              </w:rPr>
              <w:t>Notes</w:t>
            </w:r>
          </w:p>
        </w:tc>
      </w:tr>
      <w:tr>
        <w:trPr>
          <w:cantSplit/>
        </w:trPr>
        <w:tc>
          <w:tcPr>
            <w:tcW w:type="dxa" w:w="1728"/>
            <w:shd w:fill="FFFFFF"/>
            <w:tcMar>
              <w:top w:w="80" w:type="dxa"/>
              <w:start w:w="90" w:type="dxa"/>
              <w:bottom w:w="80" w:type="dxa"/>
              <w:end w:w="90" w:type="dxa"/>
            </w:tcMar>
            <w:vAlign w:val="top"/>
          </w:tcPr>
          <w:p>
            <w:pPr>
              <w:spacing w:after="0"/>
            </w:pPr>
            <w:r>
              <w:rPr>
                <w:color w:val="1F2933"/>
                <w:sz w:val="16"/>
              </w:rPr>
              <w:t>component_id</w:t>
            </w:r>
          </w:p>
        </w:tc>
        <w:tc>
          <w:tcPr>
            <w:tcW w:type="dxa" w:w="2880"/>
            <w:shd w:fill="FFFFFF"/>
            <w:tcMar>
              <w:top w:w="80" w:type="dxa"/>
              <w:start w:w="90" w:type="dxa"/>
              <w:bottom w:w="80" w:type="dxa"/>
              <w:end w:w="90" w:type="dxa"/>
            </w:tcMar>
            <w:vAlign w:val="top"/>
          </w:tcPr>
          <w:p>
            <w:pPr>
              <w:spacing w:after="0"/>
            </w:pPr>
            <w:r>
              <w:rPr>
                <w:color w:val="1F2933"/>
                <w:sz w:val="16"/>
              </w:rPr>
              <w:t>Component identity</w:t>
            </w:r>
          </w:p>
        </w:tc>
        <w:tc>
          <w:tcPr>
            <w:tcW w:type="dxa" w:w="5184"/>
            <w:shd w:fill="FFFFFF"/>
            <w:tcMar>
              <w:top w:w="80" w:type="dxa"/>
              <w:start w:w="90" w:type="dxa"/>
              <w:bottom w:w="80" w:type="dxa"/>
              <w:end w:w="90" w:type="dxa"/>
            </w:tcMar>
            <w:vAlign w:val="top"/>
          </w:tcPr>
          <w:p>
            <w:pPr>
              <w:spacing w:after="0"/>
            </w:pPr>
            <w:r>
              <w:rPr>
                <w:color w:val="1F2933"/>
                <w:sz w:val="16"/>
              </w:rPr>
              <w:t>Stable within dataset / experiment</w:t>
            </w:r>
          </w:p>
        </w:tc>
      </w:tr>
      <w:tr>
        <w:trPr>
          <w:cantSplit/>
        </w:trPr>
        <w:tc>
          <w:tcPr>
            <w:tcW w:type="dxa" w:w="1728"/>
            <w:shd w:fill="F4F7F9"/>
            <w:tcMar>
              <w:top w:w="80" w:type="dxa"/>
              <w:start w:w="90" w:type="dxa"/>
              <w:bottom w:w="80" w:type="dxa"/>
              <w:end w:w="90" w:type="dxa"/>
            </w:tcMar>
            <w:vAlign w:val="top"/>
          </w:tcPr>
          <w:p>
            <w:pPr>
              <w:spacing w:after="0"/>
            </w:pPr>
            <w:r>
              <w:rPr>
                <w:color w:val="1F2933"/>
                <w:sz w:val="16"/>
              </w:rPr>
              <w:t>lot_id</w:t>
            </w:r>
          </w:p>
        </w:tc>
        <w:tc>
          <w:tcPr>
            <w:tcW w:type="dxa" w:w="2880"/>
            <w:shd w:fill="F4F7F9"/>
            <w:tcMar>
              <w:top w:w="80" w:type="dxa"/>
              <w:start w:w="90" w:type="dxa"/>
              <w:bottom w:w="80" w:type="dxa"/>
              <w:end w:w="90" w:type="dxa"/>
            </w:tcMar>
            <w:vAlign w:val="top"/>
          </w:tcPr>
          <w:p>
            <w:pPr>
              <w:spacing w:after="0"/>
            </w:pPr>
            <w:r>
              <w:rPr>
                <w:color w:val="1F2933"/>
                <w:sz w:val="16"/>
              </w:rPr>
              <w:t>Production lot context</w:t>
            </w:r>
          </w:p>
        </w:tc>
        <w:tc>
          <w:tcPr>
            <w:tcW w:type="dxa" w:w="5184"/>
            <w:shd w:fill="F4F7F9"/>
            <w:tcMar>
              <w:top w:w="80" w:type="dxa"/>
              <w:start w:w="90" w:type="dxa"/>
              <w:bottom w:w="80" w:type="dxa"/>
              <w:end w:w="90" w:type="dxa"/>
            </w:tcMar>
            <w:vAlign w:val="top"/>
          </w:tcPr>
          <w:p>
            <w:pPr>
              <w:spacing w:after="0"/>
            </w:pPr>
            <w:r>
              <w:rPr>
                <w:color w:val="1F2933"/>
                <w:sz w:val="16"/>
              </w:rPr>
              <w:t>Critical for unseen-lot evaluation</w:t>
            </w:r>
          </w:p>
        </w:tc>
      </w:tr>
      <w:tr>
        <w:trPr>
          <w:cantSplit/>
        </w:trPr>
        <w:tc>
          <w:tcPr>
            <w:tcW w:type="dxa" w:w="1728"/>
            <w:shd w:fill="FFFFFF"/>
            <w:tcMar>
              <w:top w:w="80" w:type="dxa"/>
              <w:start w:w="90" w:type="dxa"/>
              <w:bottom w:w="80" w:type="dxa"/>
              <w:end w:w="90" w:type="dxa"/>
            </w:tcMar>
            <w:vAlign w:val="top"/>
          </w:tcPr>
          <w:p>
            <w:pPr>
              <w:spacing w:after="0"/>
            </w:pPr>
            <w:r>
              <w:rPr>
                <w:color w:val="1F2933"/>
                <w:sz w:val="16"/>
              </w:rPr>
              <w:t>stage_hours</w:t>
            </w:r>
          </w:p>
        </w:tc>
        <w:tc>
          <w:tcPr>
            <w:tcW w:type="dxa" w:w="2880"/>
            <w:shd w:fill="FFFFFF"/>
            <w:tcMar>
              <w:top w:w="80" w:type="dxa"/>
              <w:start w:w="90" w:type="dxa"/>
              <w:bottom w:w="80" w:type="dxa"/>
              <w:end w:w="90" w:type="dxa"/>
            </w:tcMar>
            <w:vAlign w:val="top"/>
          </w:tcPr>
          <w:p>
            <w:pPr>
              <w:spacing w:after="0"/>
            </w:pPr>
            <w:r>
              <w:rPr>
                <w:color w:val="1F2933"/>
                <w:sz w:val="16"/>
              </w:rPr>
              <w:t>0 / 24 / 96 / 168 or denser stage</w:t>
            </w:r>
          </w:p>
        </w:tc>
        <w:tc>
          <w:tcPr>
            <w:tcW w:type="dxa" w:w="5184"/>
            <w:shd w:fill="FFFFFF"/>
            <w:tcMar>
              <w:top w:w="80" w:type="dxa"/>
              <w:start w:w="90" w:type="dxa"/>
              <w:bottom w:w="80" w:type="dxa"/>
              <w:end w:w="90" w:type="dxa"/>
            </w:tcMar>
            <w:vAlign w:val="top"/>
          </w:tcPr>
          <w:p>
            <w:pPr>
              <w:spacing w:after="0"/>
            </w:pPr>
            <w:r>
              <w:rPr>
                <w:color w:val="1F2933"/>
                <w:sz w:val="16"/>
              </w:rPr>
              <w:t>Do not assume fixed frequency if source data differ</w:t>
            </w:r>
          </w:p>
        </w:tc>
      </w:tr>
      <w:tr>
        <w:trPr>
          <w:cantSplit/>
        </w:trPr>
        <w:tc>
          <w:tcPr>
            <w:tcW w:type="dxa" w:w="1728"/>
            <w:shd w:fill="F4F7F9"/>
            <w:tcMar>
              <w:top w:w="80" w:type="dxa"/>
              <w:start w:w="90" w:type="dxa"/>
              <w:bottom w:w="80" w:type="dxa"/>
              <w:end w:w="90" w:type="dxa"/>
            </w:tcMar>
            <w:vAlign w:val="top"/>
          </w:tcPr>
          <w:p>
            <w:pPr>
              <w:spacing w:after="0"/>
            </w:pPr>
            <w:r>
              <w:rPr>
                <w:color w:val="1F2933"/>
                <w:sz w:val="16"/>
              </w:rPr>
              <w:t>timestamp</w:t>
            </w:r>
          </w:p>
        </w:tc>
        <w:tc>
          <w:tcPr>
            <w:tcW w:type="dxa" w:w="2880"/>
            <w:shd w:fill="F4F7F9"/>
            <w:tcMar>
              <w:top w:w="80" w:type="dxa"/>
              <w:start w:w="90" w:type="dxa"/>
              <w:bottom w:w="80" w:type="dxa"/>
              <w:end w:w="90" w:type="dxa"/>
            </w:tcMar>
            <w:vAlign w:val="top"/>
          </w:tcPr>
          <w:p>
            <w:pPr>
              <w:spacing w:after="0"/>
            </w:pPr>
            <w:r>
              <w:rPr>
                <w:color w:val="1F2933"/>
                <w:sz w:val="16"/>
              </w:rPr>
              <w:t>Acquisition time</w:t>
            </w:r>
          </w:p>
        </w:tc>
        <w:tc>
          <w:tcPr>
            <w:tcW w:type="dxa" w:w="5184"/>
            <w:shd w:fill="F4F7F9"/>
            <w:tcMar>
              <w:top w:w="80" w:type="dxa"/>
              <w:start w:w="90" w:type="dxa"/>
              <w:bottom w:w="80" w:type="dxa"/>
              <w:end w:w="90" w:type="dxa"/>
            </w:tcMar>
            <w:vAlign w:val="top"/>
          </w:tcPr>
          <w:p>
            <w:pPr>
              <w:spacing w:after="0"/>
            </w:pPr>
            <w:r>
              <w:rPr>
                <w:color w:val="1F2933"/>
                <w:sz w:val="16"/>
              </w:rPr>
              <w:t>Keep even if stage is known</w:t>
            </w:r>
          </w:p>
        </w:tc>
      </w:tr>
      <w:tr>
        <w:trPr>
          <w:cantSplit/>
        </w:trPr>
        <w:tc>
          <w:tcPr>
            <w:tcW w:type="dxa" w:w="1728"/>
            <w:shd w:fill="FFFFFF"/>
            <w:tcMar>
              <w:top w:w="80" w:type="dxa"/>
              <w:start w:w="90" w:type="dxa"/>
              <w:bottom w:w="80" w:type="dxa"/>
              <w:end w:w="90" w:type="dxa"/>
            </w:tcMar>
            <w:vAlign w:val="top"/>
          </w:tcPr>
          <w:p>
            <w:pPr>
              <w:spacing w:after="0"/>
            </w:pPr>
            <w:r>
              <w:rPr>
                <w:color w:val="1F2933"/>
                <w:sz w:val="16"/>
              </w:rPr>
              <w:t>parameter</w:t>
            </w:r>
          </w:p>
        </w:tc>
        <w:tc>
          <w:tcPr>
            <w:tcW w:type="dxa" w:w="2880"/>
            <w:shd w:fill="FFFFFF"/>
            <w:tcMar>
              <w:top w:w="80" w:type="dxa"/>
              <w:start w:w="90" w:type="dxa"/>
              <w:bottom w:w="80" w:type="dxa"/>
              <w:end w:w="90" w:type="dxa"/>
            </w:tcMar>
            <w:vAlign w:val="top"/>
          </w:tcPr>
          <w:p>
            <w:pPr>
              <w:spacing w:after="0"/>
            </w:pPr>
            <w:r>
              <w:rPr>
                <w:color w:val="1F2933"/>
                <w:sz w:val="16"/>
              </w:rPr>
              <w:t>Electrical variable name</w:t>
            </w:r>
          </w:p>
        </w:tc>
        <w:tc>
          <w:tcPr>
            <w:tcW w:type="dxa" w:w="5184"/>
            <w:shd w:fill="FFFFFF"/>
            <w:tcMar>
              <w:top w:w="80" w:type="dxa"/>
              <w:start w:w="90" w:type="dxa"/>
              <w:bottom w:w="80" w:type="dxa"/>
              <w:end w:w="90" w:type="dxa"/>
            </w:tcMar>
            <w:vAlign w:val="top"/>
          </w:tcPr>
          <w:p>
            <w:pPr>
              <w:spacing w:after="0"/>
            </w:pPr>
            <w:r>
              <w:rPr>
                <w:color w:val="1F2933"/>
                <w:sz w:val="16"/>
              </w:rPr>
              <w:t>e.g. leakage current, propagation delay</w:t>
            </w:r>
          </w:p>
        </w:tc>
      </w:tr>
      <w:tr>
        <w:trPr>
          <w:cantSplit/>
        </w:trPr>
        <w:tc>
          <w:tcPr>
            <w:tcW w:type="dxa" w:w="1728"/>
            <w:shd w:fill="F4F7F9"/>
            <w:tcMar>
              <w:top w:w="80" w:type="dxa"/>
              <w:start w:w="90" w:type="dxa"/>
              <w:bottom w:w="80" w:type="dxa"/>
              <w:end w:w="90" w:type="dxa"/>
            </w:tcMar>
            <w:vAlign w:val="top"/>
          </w:tcPr>
          <w:p>
            <w:pPr>
              <w:spacing w:after="0"/>
            </w:pPr>
            <w:r>
              <w:rPr>
                <w:color w:val="1F2933"/>
                <w:sz w:val="16"/>
              </w:rPr>
              <w:t>value</w:t>
            </w:r>
          </w:p>
        </w:tc>
        <w:tc>
          <w:tcPr>
            <w:tcW w:type="dxa" w:w="2880"/>
            <w:shd w:fill="F4F7F9"/>
            <w:tcMar>
              <w:top w:w="80" w:type="dxa"/>
              <w:start w:w="90" w:type="dxa"/>
              <w:bottom w:w="80" w:type="dxa"/>
              <w:end w:w="90" w:type="dxa"/>
            </w:tcMar>
            <w:vAlign w:val="top"/>
          </w:tcPr>
          <w:p>
            <w:pPr>
              <w:spacing w:after="0"/>
            </w:pPr>
            <w:r>
              <w:rPr>
                <w:color w:val="1F2933"/>
                <w:sz w:val="16"/>
              </w:rPr>
              <w:t>Measured value</w:t>
            </w:r>
          </w:p>
        </w:tc>
        <w:tc>
          <w:tcPr>
            <w:tcW w:type="dxa" w:w="5184"/>
            <w:shd w:fill="F4F7F9"/>
            <w:tcMar>
              <w:top w:w="80" w:type="dxa"/>
              <w:start w:w="90" w:type="dxa"/>
              <w:bottom w:w="80" w:type="dxa"/>
              <w:end w:w="90" w:type="dxa"/>
            </w:tcMar>
            <w:vAlign w:val="top"/>
          </w:tcPr>
          <w:p>
            <w:pPr>
              <w:spacing w:after="0"/>
            </w:pPr>
            <w:r>
              <w:rPr>
                <w:color w:val="1F2933"/>
                <w:sz w:val="16"/>
              </w:rPr>
              <w:t>Raw numeric value</w:t>
            </w:r>
          </w:p>
        </w:tc>
      </w:tr>
      <w:tr>
        <w:trPr>
          <w:cantSplit/>
        </w:trPr>
        <w:tc>
          <w:tcPr>
            <w:tcW w:type="dxa" w:w="1728"/>
            <w:shd w:fill="FFFFFF"/>
            <w:tcMar>
              <w:top w:w="80" w:type="dxa"/>
              <w:start w:w="90" w:type="dxa"/>
              <w:bottom w:w="80" w:type="dxa"/>
              <w:end w:w="90" w:type="dxa"/>
            </w:tcMar>
            <w:vAlign w:val="top"/>
          </w:tcPr>
          <w:p>
            <w:pPr>
              <w:spacing w:after="0"/>
            </w:pPr>
            <w:r>
              <w:rPr>
                <w:color w:val="1F2933"/>
                <w:sz w:val="16"/>
              </w:rPr>
              <w:t>unit</w:t>
            </w:r>
          </w:p>
        </w:tc>
        <w:tc>
          <w:tcPr>
            <w:tcW w:type="dxa" w:w="2880"/>
            <w:shd w:fill="FFFFFF"/>
            <w:tcMar>
              <w:top w:w="80" w:type="dxa"/>
              <w:start w:w="90" w:type="dxa"/>
              <w:bottom w:w="80" w:type="dxa"/>
              <w:end w:w="90" w:type="dxa"/>
            </w:tcMar>
            <w:vAlign w:val="top"/>
          </w:tcPr>
          <w:p>
            <w:pPr>
              <w:spacing w:after="0"/>
            </w:pPr>
            <w:r>
              <w:rPr>
                <w:color w:val="1F2933"/>
                <w:sz w:val="16"/>
              </w:rPr>
              <w:t>Engineering unit</w:t>
            </w:r>
          </w:p>
        </w:tc>
        <w:tc>
          <w:tcPr>
            <w:tcW w:type="dxa" w:w="5184"/>
            <w:shd w:fill="FFFFFF"/>
            <w:tcMar>
              <w:top w:w="80" w:type="dxa"/>
              <w:start w:w="90" w:type="dxa"/>
              <w:bottom w:w="80" w:type="dxa"/>
              <w:end w:w="90" w:type="dxa"/>
            </w:tcMar>
            <w:vAlign w:val="top"/>
          </w:tcPr>
          <w:p>
            <w:pPr>
              <w:spacing w:after="0"/>
            </w:pPr>
            <w:r>
              <w:rPr>
                <w:color w:val="1F2933"/>
                <w:sz w:val="16"/>
              </w:rPr>
              <w:t>Never silently mix scales</w:t>
            </w:r>
          </w:p>
        </w:tc>
      </w:tr>
      <w:tr>
        <w:trPr>
          <w:cantSplit/>
        </w:trPr>
        <w:tc>
          <w:tcPr>
            <w:tcW w:type="dxa" w:w="1728"/>
            <w:shd w:fill="F4F7F9"/>
            <w:tcMar>
              <w:top w:w="80" w:type="dxa"/>
              <w:start w:w="90" w:type="dxa"/>
              <w:bottom w:w="80" w:type="dxa"/>
              <w:end w:w="90" w:type="dxa"/>
            </w:tcMar>
            <w:vAlign w:val="top"/>
          </w:tcPr>
          <w:p>
            <w:pPr>
              <w:spacing w:after="0"/>
            </w:pPr>
            <w:r>
              <w:rPr>
                <w:color w:val="1F2933"/>
                <w:sz w:val="16"/>
              </w:rPr>
              <w:t>test_condition</w:t>
            </w:r>
          </w:p>
        </w:tc>
        <w:tc>
          <w:tcPr>
            <w:tcW w:type="dxa" w:w="2880"/>
            <w:shd w:fill="F4F7F9"/>
            <w:tcMar>
              <w:top w:w="80" w:type="dxa"/>
              <w:start w:w="90" w:type="dxa"/>
              <w:bottom w:w="80" w:type="dxa"/>
              <w:end w:w="90" w:type="dxa"/>
            </w:tcMar>
            <w:vAlign w:val="top"/>
          </w:tcPr>
          <w:p>
            <w:pPr>
              <w:spacing w:after="0"/>
            </w:pPr>
            <w:r>
              <w:rPr>
                <w:color w:val="1F2933"/>
                <w:sz w:val="16"/>
              </w:rPr>
              <w:t>Optional stress condition metadata</w:t>
            </w:r>
          </w:p>
        </w:tc>
        <w:tc>
          <w:tcPr>
            <w:tcW w:type="dxa" w:w="5184"/>
            <w:shd w:fill="F4F7F9"/>
            <w:tcMar>
              <w:top w:w="80" w:type="dxa"/>
              <w:start w:w="90" w:type="dxa"/>
              <w:bottom w:w="80" w:type="dxa"/>
              <w:end w:w="90" w:type="dxa"/>
            </w:tcMar>
            <w:vAlign w:val="top"/>
          </w:tcPr>
          <w:p>
            <w:pPr>
              <w:spacing w:after="0"/>
            </w:pPr>
            <w:r>
              <w:rPr>
                <w:color w:val="1F2933"/>
                <w:sz w:val="16"/>
              </w:rPr>
              <w:t>Useful for shift analysis</w:t>
            </w:r>
          </w:p>
        </w:tc>
      </w:tr>
      <w:tr>
        <w:trPr>
          <w:cantSplit/>
        </w:trPr>
        <w:tc>
          <w:tcPr>
            <w:tcW w:type="dxa" w:w="1728"/>
            <w:shd w:fill="FFFFFF"/>
            <w:tcMar>
              <w:top w:w="80" w:type="dxa"/>
              <w:start w:w="90" w:type="dxa"/>
              <w:bottom w:w="80" w:type="dxa"/>
              <w:end w:w="90" w:type="dxa"/>
            </w:tcMar>
            <w:vAlign w:val="top"/>
          </w:tcPr>
          <w:p>
            <w:pPr>
              <w:spacing w:after="0"/>
            </w:pPr>
            <w:r>
              <w:rPr>
                <w:color w:val="1F2933"/>
                <w:sz w:val="16"/>
              </w:rPr>
              <w:t>source_id</w:t>
            </w:r>
          </w:p>
        </w:tc>
        <w:tc>
          <w:tcPr>
            <w:tcW w:type="dxa" w:w="2880"/>
            <w:shd w:fill="FFFFFF"/>
            <w:tcMar>
              <w:top w:w="80" w:type="dxa"/>
              <w:start w:w="90" w:type="dxa"/>
              <w:bottom w:w="80" w:type="dxa"/>
              <w:end w:w="90" w:type="dxa"/>
            </w:tcMar>
            <w:vAlign w:val="top"/>
          </w:tcPr>
          <w:p>
            <w:pPr>
              <w:spacing w:after="0"/>
            </w:pPr>
            <w:r>
              <w:rPr>
                <w:color w:val="1F2933"/>
                <w:sz w:val="16"/>
              </w:rPr>
              <w:t>Origin of the measurement</w:t>
            </w:r>
          </w:p>
        </w:tc>
        <w:tc>
          <w:tcPr>
            <w:tcW w:type="dxa" w:w="5184"/>
            <w:shd w:fill="FFFFFF"/>
            <w:tcMar>
              <w:top w:w="80" w:type="dxa"/>
              <w:start w:w="90" w:type="dxa"/>
              <w:bottom w:w="80" w:type="dxa"/>
              <w:end w:w="90" w:type="dxa"/>
            </w:tcMar>
            <w:vAlign w:val="top"/>
          </w:tcPr>
          <w:p>
            <w:pPr>
              <w:spacing w:after="0"/>
            </w:pPr>
            <w:r>
              <w:rPr>
                <w:color w:val="1F2933"/>
                <w:sz w:val="16"/>
              </w:rPr>
              <w:t>proxy / synthetic / physical</w:t>
            </w:r>
          </w:p>
        </w:tc>
      </w:tr>
      <w:tr>
        <w:trPr>
          <w:cantSplit/>
        </w:trPr>
        <w:tc>
          <w:tcPr>
            <w:tcW w:type="dxa" w:w="1728"/>
            <w:shd w:fill="F4F7F9"/>
            <w:tcMar>
              <w:top w:w="80" w:type="dxa"/>
              <w:start w:w="90" w:type="dxa"/>
              <w:bottom w:w="80" w:type="dxa"/>
              <w:end w:w="90" w:type="dxa"/>
            </w:tcMar>
            <w:vAlign w:val="top"/>
          </w:tcPr>
          <w:p>
            <w:pPr>
              <w:spacing w:after="0"/>
            </w:pPr>
            <w:r>
              <w:rPr>
                <w:color w:val="1F2933"/>
                <w:sz w:val="16"/>
              </w:rPr>
              <w:t>qc_flags</w:t>
            </w:r>
          </w:p>
        </w:tc>
        <w:tc>
          <w:tcPr>
            <w:tcW w:type="dxa" w:w="2880"/>
            <w:shd w:fill="F4F7F9"/>
            <w:tcMar>
              <w:top w:w="80" w:type="dxa"/>
              <w:start w:w="90" w:type="dxa"/>
              <w:bottom w:w="80" w:type="dxa"/>
              <w:end w:w="90" w:type="dxa"/>
            </w:tcMar>
            <w:vAlign w:val="top"/>
          </w:tcPr>
          <w:p>
            <w:pPr>
              <w:spacing w:after="0"/>
            </w:pPr>
            <w:r>
              <w:rPr>
                <w:color w:val="1F2933"/>
                <w:sz w:val="16"/>
              </w:rPr>
              <w:t>Data quality state</w:t>
            </w:r>
          </w:p>
        </w:tc>
        <w:tc>
          <w:tcPr>
            <w:tcW w:type="dxa" w:w="5184"/>
            <w:shd w:fill="F4F7F9"/>
            <w:tcMar>
              <w:top w:w="80" w:type="dxa"/>
              <w:start w:w="90" w:type="dxa"/>
              <w:bottom w:w="80" w:type="dxa"/>
              <w:end w:w="90" w:type="dxa"/>
            </w:tcMar>
            <w:vAlign w:val="top"/>
          </w:tcPr>
          <w:p>
            <w:pPr>
              <w:spacing w:after="0"/>
            </w:pPr>
            <w:r>
              <w:rPr>
                <w:color w:val="1F2933"/>
                <w:sz w:val="16"/>
              </w:rPr>
              <w:t>Range, saturation, duplicate, missingness, etc.</w:t>
            </w:r>
          </w:p>
        </w:tc>
      </w:tr>
    </w:tbl>
    <w:p>
      <w:pPr>
        <w:spacing w:after="40"/>
      </w:pPr>
    </w:p>
    <w:p>
      <w:pPr>
        <w:pStyle w:val="Heading2"/>
        <w:keepNext/>
      </w:pPr>
      <w:r>
        <w:t>7.1 Data quality layer</w:t>
      </w:r>
    </w:p>
    <w:p>
      <w:pPr>
        <w:pStyle w:val="ListBullet"/>
        <w:spacing w:after="40"/>
        <w:ind w:left="317"/>
      </w:pPr>
      <w:r>
        <w:t>Schema validation: required columns, types, units, stage ordering, component IDs, lot IDs.</w:t>
      </w:r>
    </w:p>
    <w:p>
      <w:pPr>
        <w:pStyle w:val="ListBullet"/>
        <w:spacing w:after="40"/>
        <w:ind w:left="317"/>
      </w:pPr>
      <w:r>
        <w:t>Physical plausibility checks: impossible values, sensor saturation, duplicated records, impossible timestamps, inconsistent units.</w:t>
      </w:r>
    </w:p>
    <w:p>
      <w:pPr>
        <w:pStyle w:val="ListBullet"/>
        <w:spacing w:after="40"/>
        <w:ind w:left="317"/>
      </w:pPr>
      <w:r>
        <w:t>Missingness handling: imputation strategy plus explicit missingness indicators. Do not treat missing 24h as identical to a real zero.</w:t>
      </w:r>
    </w:p>
    <w:p>
      <w:pPr>
        <w:pStyle w:val="ListBullet"/>
        <w:spacing w:after="40"/>
        <w:ind w:left="317"/>
      </w:pPr>
      <w:r>
        <w:t>Scaling: fit all learned normalization parameters only on training lots. Never let test-lot statistics leak backward into training.</w:t>
      </w:r>
    </w:p>
    <w:p>
      <w:pPr>
        <w:pStyle w:val="ListBullet"/>
        <w:spacing w:after="40"/>
        <w:ind w:left="317"/>
      </w:pPr>
      <w:r>
        <w:t>Lot estimation: use robust median/MAD or other contamination-resistant estimators; report sensitivity to lot size and defective-part prevalence.</w:t>
      </w:r>
    </w:p>
    <w:p>
      <w:pPr>
        <w:pStyle w:val="Heading2"/>
        <w:keepNext/>
      </w:pPr>
      <w:r>
        <w:t>7.2 Leakage controls - mandatory</w:t>
      </w:r>
    </w:p>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8B2E2E"/>
              </w:rPr>
              <w:t>No future leakage at early-warning time</w:t>
            </w:r>
          </w:p>
          <w:p>
            <w:pPr>
              <w:spacing w:after="0"/>
            </w:pPr>
            <w:r>
              <w:t>At 24h evaluation, the model may use 0h and 24h information only. 96h and 168h observations are hidden from the prediction pipeline and are revealed only for later-stage updates or final evaluation. Any feature computed from future values invalidates the early-warning claim.</w:t>
            </w:r>
          </w:p>
        </w:tc>
      </w:tr>
    </w:tbl>
    <w:p>
      <w:pPr>
        <w:pStyle w:val="ListBullet"/>
        <w:spacing w:after="40"/>
        <w:ind w:left="317"/>
      </w:pPr>
      <w:r>
        <w:t>Split by lot, not by individual component alone.</w:t>
      </w:r>
    </w:p>
    <w:p>
      <w:pPr>
        <w:pStyle w:val="ListBullet"/>
        <w:spacing w:after="40"/>
        <w:ind w:left="317"/>
      </w:pPr>
      <w:r>
        <w:t>Fit preprocessing on training lots only.</w:t>
      </w:r>
    </w:p>
    <w:p>
      <w:pPr>
        <w:pStyle w:val="ListBullet"/>
        <w:spacing w:after="40"/>
        <w:ind w:left="317"/>
      </w:pPr>
      <w:r>
        <w:t>If a synthetic generator has latent mechanism templates, reserve some mechanism/parameter combinations for hidden testing.</w:t>
      </w:r>
    </w:p>
    <w:p>
      <w:pPr>
        <w:pStyle w:val="ListBullet"/>
        <w:spacing w:after="40"/>
        <w:ind w:left="317"/>
      </w:pPr>
      <w:r>
        <w:t>Keep the final benchmark generator configuration and test seeds inaccessible during development, analogous to a hidden test set.</w:t>
      </w:r>
    </w:p>
    <w:p>
      <w:pPr>
        <w:pStyle w:val="Heading1"/>
        <w:keepNext/>
      </w:pPr>
      <w:r>
        <w:t>8. BurnIn-Bench: Six-Layer Latent Physical Generative Instrument</w:t>
      </w:r>
    </w:p>
    <w:p>
      <w:pPr>
        <w:spacing w:after="100" w:line="254" w:lineRule="auto"/>
      </w:pPr>
      <w:r>
        <w:t>BurnIn-Bench is the controlled experimental instrument for this project. It is not an ISRO dataset and not a claim of physical equivalence to a qualified aerospace screening process. Its purpose is to generate staged measurement trajectories where the team knows the hidden degradation mechanism, the observable consequences, the nuisance factors, and the eventual operational outcome. This lets the paper test latent-defect detection, early forecasting, calibration, and robustness without depending on proprietary data.</w:t>
      </w:r>
    </w:p>
    <w:p>
      <w:pPr>
        <w:pStyle w:val="Heading2"/>
        <w:keepNext/>
      </w:pPr>
      <w:r>
        <w:t>8.1 The six locked layers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83A5A"/>
            <w:tcMar>
              <w:top w:w="80" w:type="dxa"/>
              <w:start w:w="90" w:type="dxa"/>
              <w:bottom w:w="80" w:type="dxa"/>
              <w:end w:w="90" w:type="dxa"/>
            </w:tcMar>
            <w:vAlign w:val="center"/>
          </w:tcPr>
          <w:p>
            <w:pPr>
              <w:jc w:val="left"/>
            </w:pPr>
            <w:r>
              <w:rPr>
                <w:b/>
                <w:color w:val="FFFFFF"/>
                <w:sz w:val="16"/>
              </w:rPr>
              <w:t>Layer</w:t>
            </w:r>
          </w:p>
        </w:tc>
        <w:tc>
          <w:tcPr>
            <w:tcW w:type="dxa" w:w="4464"/>
            <w:shd w:fill="183A5A"/>
            <w:tcMar>
              <w:top w:w="80" w:type="dxa"/>
              <w:start w:w="90" w:type="dxa"/>
              <w:bottom w:w="80" w:type="dxa"/>
              <w:end w:w="90" w:type="dxa"/>
            </w:tcMar>
            <w:vAlign w:val="center"/>
          </w:tcPr>
          <w:p>
            <w:pPr>
              <w:jc w:val="left"/>
            </w:pPr>
            <w:r>
              <w:rPr>
                <w:b/>
                <w:color w:val="FFFFFF"/>
                <w:sz w:val="16"/>
              </w:rPr>
              <w:t>Definition</w:t>
            </w:r>
          </w:p>
        </w:tc>
        <w:tc>
          <w:tcPr>
            <w:tcW w:type="dxa" w:w="3528"/>
            <w:shd w:fill="183A5A"/>
            <w:tcMar>
              <w:top w:w="80" w:type="dxa"/>
              <w:start w:w="90" w:type="dxa"/>
              <w:bottom w:w="80" w:type="dxa"/>
              <w:end w:w="90" w:type="dxa"/>
            </w:tcMar>
            <w:vAlign w:val="center"/>
          </w:tcPr>
          <w:p>
            <w:pPr>
              <w:jc w:val="left"/>
            </w:pPr>
            <w:r>
              <w:rPr>
                <w:b/>
                <w:color w:val="FFFFFF"/>
                <w:sz w:val="16"/>
              </w:rPr>
              <w:t>Examples / constraints</w:t>
            </w:r>
          </w:p>
        </w:tc>
      </w:tr>
      <w:tr>
        <w:trPr>
          <w:cantSplit/>
        </w:trPr>
        <w:tc>
          <w:tcPr>
            <w:tcW w:type="dxa" w:w="1800"/>
            <w:shd w:fill="FFFFFF"/>
            <w:tcMar>
              <w:top w:w="80" w:type="dxa"/>
              <w:start w:w="90" w:type="dxa"/>
              <w:bottom w:w="80" w:type="dxa"/>
              <w:end w:w="90" w:type="dxa"/>
            </w:tcMar>
            <w:vAlign w:val="top"/>
          </w:tcPr>
          <w:p>
            <w:pPr>
              <w:spacing w:after="0"/>
            </w:pPr>
            <w:r>
              <w:rPr>
                <w:color w:val="1F2933"/>
                <w:sz w:val="16"/>
              </w:rPr>
              <w:t>L1. Physics Prior</w:t>
            </w:r>
          </w:p>
        </w:tc>
        <w:tc>
          <w:tcPr>
            <w:tcW w:type="dxa" w:w="4464"/>
            <w:shd w:fill="FFFFFF"/>
            <w:tcMar>
              <w:top w:w="80" w:type="dxa"/>
              <w:start w:w="90" w:type="dxa"/>
              <w:bottom w:w="80" w:type="dxa"/>
              <w:end w:w="90" w:type="dxa"/>
            </w:tcMar>
            <w:vAlign w:val="top"/>
          </w:tcPr>
          <w:p>
            <w:pPr>
              <w:spacing w:after="0"/>
            </w:pPr>
            <w:r>
              <w:rPr>
                <w:color w:val="1F2933"/>
                <w:sz w:val="16"/>
              </w:rPr>
              <w:t>Domain-informed functional forms constrain how latent degradation can evolve under stress.</w:t>
            </w:r>
          </w:p>
        </w:tc>
        <w:tc>
          <w:tcPr>
            <w:tcW w:type="dxa" w:w="3528"/>
            <w:shd w:fill="FFFFFF"/>
            <w:tcMar>
              <w:top w:w="80" w:type="dxa"/>
              <w:start w:w="90" w:type="dxa"/>
              <w:bottom w:w="80" w:type="dxa"/>
              <w:end w:w="90" w:type="dxa"/>
            </w:tcMar>
            <w:vAlign w:val="top"/>
          </w:tcPr>
          <w:p>
            <w:pPr>
              <w:spacing w:after="0"/>
            </w:pPr>
            <w:r>
              <w:rPr>
                <w:color w:val="1F2933"/>
                <w:sz w:val="16"/>
              </w:rPr>
              <w:t>Arrhenius thermal acceleration; Black electromigration lifetime prior; NBTI-inspired time/stress laws; optional additional mechanisms only when justified.</w:t>
            </w:r>
          </w:p>
        </w:tc>
      </w:tr>
      <w:tr>
        <w:trPr>
          <w:cantSplit/>
        </w:trPr>
        <w:tc>
          <w:tcPr>
            <w:tcW w:type="dxa" w:w="1800"/>
            <w:shd w:fill="F4F7F9"/>
            <w:tcMar>
              <w:top w:w="80" w:type="dxa"/>
              <w:start w:w="90" w:type="dxa"/>
              <w:bottom w:w="80" w:type="dxa"/>
              <w:end w:w="90" w:type="dxa"/>
            </w:tcMar>
            <w:vAlign w:val="top"/>
          </w:tcPr>
          <w:p>
            <w:pPr>
              <w:spacing w:after="0"/>
            </w:pPr>
            <w:r>
              <w:rPr>
                <w:color w:val="1F2933"/>
                <w:sz w:val="16"/>
              </w:rPr>
              <w:t>L2. Manufacturing Variation</w:t>
            </w:r>
          </w:p>
        </w:tc>
        <w:tc>
          <w:tcPr>
            <w:tcW w:type="dxa" w:w="4464"/>
            <w:shd w:fill="F4F7F9"/>
            <w:tcMar>
              <w:top w:w="80" w:type="dxa"/>
              <w:start w:w="90" w:type="dxa"/>
              <w:bottom w:w="80" w:type="dxa"/>
              <w:end w:w="90" w:type="dxa"/>
            </w:tcMar>
            <w:vAlign w:val="top"/>
          </w:tcPr>
          <w:p>
            <w:pPr>
              <w:spacing w:after="0"/>
            </w:pPr>
            <w:r>
              <w:rPr>
                <w:color w:val="1F2933"/>
                <w:sz w:val="16"/>
              </w:rPr>
              <w:t>Lot- and component-level variability is sampled before measurement generation.</w:t>
            </w:r>
          </w:p>
        </w:tc>
        <w:tc>
          <w:tcPr>
            <w:tcW w:type="dxa" w:w="3528"/>
            <w:shd w:fill="F4F7F9"/>
            <w:tcMar>
              <w:top w:w="80" w:type="dxa"/>
              <w:start w:w="90" w:type="dxa"/>
              <w:bottom w:w="80" w:type="dxa"/>
              <w:end w:w="90" w:type="dxa"/>
            </w:tcMar>
            <w:vAlign w:val="top"/>
          </w:tcPr>
          <w:p>
            <w:pPr>
              <w:spacing w:after="0"/>
            </w:pPr>
            <w:r>
              <w:rPr>
                <w:color w:val="1F2933"/>
                <w:sz w:val="16"/>
              </w:rPr>
              <w:t>Baseline offsets, parameter covariance, activation-energy variation, stress sensitivity, device-to-device variation, lot-dependent mean/scale.</w:t>
            </w:r>
          </w:p>
        </w:tc>
      </w:tr>
      <w:tr>
        <w:trPr>
          <w:cantSplit/>
        </w:trPr>
        <w:tc>
          <w:tcPr>
            <w:tcW w:type="dxa" w:w="1800"/>
            <w:shd w:fill="FFFFFF"/>
            <w:tcMar>
              <w:top w:w="80" w:type="dxa"/>
              <w:start w:w="90" w:type="dxa"/>
              <w:bottom w:w="80" w:type="dxa"/>
              <w:end w:w="90" w:type="dxa"/>
            </w:tcMar>
            <w:vAlign w:val="top"/>
          </w:tcPr>
          <w:p>
            <w:pPr>
              <w:spacing w:after="0"/>
            </w:pPr>
            <w:r>
              <w:rPr>
                <w:color w:val="1F2933"/>
                <w:sz w:val="16"/>
              </w:rPr>
              <w:t>L3. Latent State</w:t>
            </w:r>
          </w:p>
        </w:tc>
        <w:tc>
          <w:tcPr>
            <w:tcW w:type="dxa" w:w="4464"/>
            <w:shd w:fill="FFFFFF"/>
            <w:tcMar>
              <w:top w:w="80" w:type="dxa"/>
              <w:start w:w="90" w:type="dxa"/>
              <w:bottom w:w="80" w:type="dxa"/>
              <w:end w:w="90" w:type="dxa"/>
            </w:tcMar>
            <w:vAlign w:val="top"/>
          </w:tcPr>
          <w:p>
            <w:pPr>
              <w:spacing w:after="0"/>
            </w:pPr>
            <w:r>
              <w:rPr>
                <w:color w:val="1F2933"/>
                <w:sz w:val="16"/>
              </w:rPr>
              <w:t>Hidden degradation state evolves over staged time independent of the observation noise process.</w:t>
            </w:r>
          </w:p>
        </w:tc>
        <w:tc>
          <w:tcPr>
            <w:tcW w:type="dxa" w:w="3528"/>
            <w:shd w:fill="FFFFFF"/>
            <w:tcMar>
              <w:top w:w="80" w:type="dxa"/>
              <w:start w:w="90" w:type="dxa"/>
              <w:bottom w:w="80" w:type="dxa"/>
              <w:end w:w="90" w:type="dxa"/>
            </w:tcMar>
            <w:vAlign w:val="top"/>
          </w:tcPr>
          <w:p>
            <w:pPr>
              <w:spacing w:after="0"/>
            </w:pPr>
            <w:r>
              <w:rPr>
                <w:color w:val="1F2933"/>
                <w:sz w:val="16"/>
              </w:rPr>
              <w:t>Healthy reserve, delayed onset, gradual drift, nonlinear acceleration, mixed mechanisms, severity, onset time.</w:t>
            </w:r>
          </w:p>
        </w:tc>
      </w:tr>
      <w:tr>
        <w:trPr>
          <w:cantSplit/>
        </w:trPr>
        <w:tc>
          <w:tcPr>
            <w:tcW w:type="dxa" w:w="1800"/>
            <w:shd w:fill="F4F7F9"/>
            <w:tcMar>
              <w:top w:w="80" w:type="dxa"/>
              <w:start w:w="90" w:type="dxa"/>
              <w:bottom w:w="80" w:type="dxa"/>
              <w:end w:w="90" w:type="dxa"/>
            </w:tcMar>
            <w:vAlign w:val="top"/>
          </w:tcPr>
          <w:p>
            <w:pPr>
              <w:spacing w:after="0"/>
            </w:pPr>
            <w:r>
              <w:rPr>
                <w:color w:val="1F2933"/>
                <w:sz w:val="16"/>
              </w:rPr>
              <w:t>L4. Measurement Process</w:t>
            </w:r>
          </w:p>
        </w:tc>
        <w:tc>
          <w:tcPr>
            <w:tcW w:type="dxa" w:w="4464"/>
            <w:shd w:fill="F4F7F9"/>
            <w:tcMar>
              <w:top w:w="80" w:type="dxa"/>
              <w:start w:w="90" w:type="dxa"/>
              <w:bottom w:w="80" w:type="dxa"/>
              <w:end w:w="90" w:type="dxa"/>
            </w:tcMar>
            <w:vAlign w:val="top"/>
          </w:tcPr>
          <w:p>
            <w:pPr>
              <w:spacing w:after="0"/>
            </w:pPr>
            <w:r>
              <w:rPr>
                <w:color w:val="1F2933"/>
                <w:sz w:val="16"/>
              </w:rPr>
              <w:t>Latent state is mapped to observable signals through a separate observation model.</w:t>
            </w:r>
          </w:p>
        </w:tc>
        <w:tc>
          <w:tcPr>
            <w:tcW w:type="dxa" w:w="3528"/>
            <w:shd w:fill="F4F7F9"/>
            <w:tcMar>
              <w:top w:w="80" w:type="dxa"/>
              <w:start w:w="90" w:type="dxa"/>
              <w:bottom w:w="80" w:type="dxa"/>
              <w:end w:w="90" w:type="dxa"/>
            </w:tcMar>
            <w:vAlign w:val="top"/>
          </w:tcPr>
          <w:p>
            <w:pPr>
              <w:spacing w:after="0"/>
            </w:pPr>
            <w:r>
              <w:rPr>
                <w:color w:val="1F2933"/>
                <w:sz w:val="16"/>
              </w:rPr>
              <w:t>Signal transforms, sensor offset/scale, quantization, heteroscedastic noise, bursts, missingness, saturation, irregular sampling.</w:t>
            </w:r>
          </w:p>
        </w:tc>
      </w:tr>
      <w:tr>
        <w:trPr>
          <w:cantSplit/>
        </w:trPr>
        <w:tc>
          <w:tcPr>
            <w:tcW w:type="dxa" w:w="1800"/>
            <w:shd w:fill="FFFFFF"/>
            <w:tcMar>
              <w:top w:w="80" w:type="dxa"/>
              <w:start w:w="90" w:type="dxa"/>
              <w:bottom w:w="80" w:type="dxa"/>
              <w:end w:w="90" w:type="dxa"/>
            </w:tcMar>
            <w:vAlign w:val="top"/>
          </w:tcPr>
          <w:p>
            <w:pPr>
              <w:spacing w:after="0"/>
            </w:pPr>
            <w:r>
              <w:rPr>
                <w:color w:val="1F2933"/>
                <w:sz w:val="16"/>
              </w:rPr>
              <w:t>L5. Distribution Shift</w:t>
            </w:r>
          </w:p>
        </w:tc>
        <w:tc>
          <w:tcPr>
            <w:tcW w:type="dxa" w:w="4464"/>
            <w:shd w:fill="FFFFFF"/>
            <w:tcMar>
              <w:top w:w="80" w:type="dxa"/>
              <w:start w:w="90" w:type="dxa"/>
              <w:bottom w:w="80" w:type="dxa"/>
              <w:end w:w="90" w:type="dxa"/>
            </w:tcMar>
            <w:vAlign w:val="top"/>
          </w:tcPr>
          <w:p>
            <w:pPr>
              <w:spacing w:after="0"/>
            </w:pPr>
            <w:r>
              <w:rPr>
                <w:color w:val="1F2933"/>
                <w:sz w:val="16"/>
              </w:rPr>
              <w:t>Train and test lots are intentionally sampled from related but different distributions.</w:t>
            </w:r>
          </w:p>
        </w:tc>
        <w:tc>
          <w:tcPr>
            <w:tcW w:type="dxa" w:w="3528"/>
            <w:shd w:fill="FFFFFF"/>
            <w:tcMar>
              <w:top w:w="80" w:type="dxa"/>
              <w:start w:w="90" w:type="dxa"/>
              <w:bottom w:w="80" w:type="dxa"/>
              <w:end w:w="90" w:type="dxa"/>
            </w:tcMar>
            <w:vAlign w:val="top"/>
          </w:tcPr>
          <w:p>
            <w:pPr>
              <w:spacing w:after="0"/>
            </w:pPr>
            <w:r>
              <w:rPr>
                <w:color w:val="1F2933"/>
                <w:sz w:val="16"/>
              </w:rPr>
              <w:t>Baseline shift, variance shift, noise shift, trajectory shift, prevalence shift, combined shifts.</w:t>
            </w:r>
          </w:p>
        </w:tc>
      </w:tr>
      <w:tr>
        <w:trPr>
          <w:cantSplit/>
        </w:trPr>
        <w:tc>
          <w:tcPr>
            <w:tcW w:type="dxa" w:w="1800"/>
            <w:shd w:fill="F4F7F9"/>
            <w:tcMar>
              <w:top w:w="80" w:type="dxa"/>
              <w:start w:w="90" w:type="dxa"/>
              <w:bottom w:w="80" w:type="dxa"/>
              <w:end w:w="90" w:type="dxa"/>
            </w:tcMar>
            <w:vAlign w:val="top"/>
          </w:tcPr>
          <w:p>
            <w:pPr>
              <w:spacing w:after="0"/>
            </w:pPr>
            <w:r>
              <w:rPr>
                <w:color w:val="1F2933"/>
                <w:sz w:val="16"/>
              </w:rPr>
              <w:t>L6. Ground Truth</w:t>
            </w:r>
          </w:p>
        </w:tc>
        <w:tc>
          <w:tcPr>
            <w:tcW w:type="dxa" w:w="4464"/>
            <w:shd w:fill="F4F7F9"/>
            <w:tcMar>
              <w:top w:w="80" w:type="dxa"/>
              <w:start w:w="90" w:type="dxa"/>
              <w:bottom w:w="80" w:type="dxa"/>
              <w:end w:w="90" w:type="dxa"/>
            </w:tcMar>
            <w:vAlign w:val="top"/>
          </w:tcPr>
          <w:p>
            <w:pPr>
              <w:spacing w:after="0"/>
            </w:pPr>
            <w:r>
              <w:rPr>
                <w:color w:val="1F2933"/>
                <w:sz w:val="16"/>
              </w:rPr>
              <w:t>Hidden labels are stored separately from observed measurements.</w:t>
            </w:r>
          </w:p>
        </w:tc>
        <w:tc>
          <w:tcPr>
            <w:tcW w:type="dxa" w:w="3528"/>
            <w:shd w:fill="F4F7F9"/>
            <w:tcMar>
              <w:top w:w="80" w:type="dxa"/>
              <w:start w:w="90" w:type="dxa"/>
              <w:bottom w:w="80" w:type="dxa"/>
              <w:end w:w="90" w:type="dxa"/>
            </w:tcMar>
            <w:vAlign w:val="top"/>
          </w:tcPr>
          <w:p>
            <w:pPr>
              <w:spacing w:after="0"/>
            </w:pPr>
            <w:r>
              <w:rPr>
                <w:color w:val="1F2933"/>
                <w:sz w:val="16"/>
              </w:rPr>
              <w:t>Mechanism label, onset, severity, affected signal, 168h operational outcome, time-to-limit crossing.</w:t>
            </w:r>
          </w:p>
        </w:tc>
      </w:tr>
    </w:tbl>
    <w:p>
      <w:pPr>
        <w:spacing w:after="40"/>
      </w:pPr>
    </w:p>
    <w:p>
      <w:pPr>
        <w:pStyle w:val="Heading2"/>
        <w:keepNext/>
      </w:pPr>
      <w:r>
        <w:t>8.2 Physics priors: correct use</w:t>
      </w:r>
    </w:p>
    <w:p>
      <w:pPr>
        <w:spacing w:after="100" w:line="254" w:lineRule="auto"/>
      </w:pPr>
      <w:r>
        <w:t>Physics priors are constraints on synthetic generation, not proof that a given measured field obeys one universal law. The simulator should expose its parameterization and allow controlled perturbation. This prevents the benchmark from becoming a deterministic equation-fitting exercise.</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Arrhenius thermal acceleration / rate prior:</w:t>
              <w:br/>
              <w:t xml:space="preserve">    k(T) = A * exp(-Ea / (k_B * T))</w:t>
              <w:br/>
              <w:t xml:space="preserve">    AF(T_use -&gt; T_stress) = exp[(Ea/k_B) * (1/T_use - 1/T_stress)]</w:t>
              <w:br/>
              <w:br/>
              <w:t>Black electromigration prior:</w:t>
              <w:br/>
              <w:t xml:space="preserve">    MTTF = A * J^(-n) * exp(Ea / (k_B * T))</w:t>
              <w:br/>
              <w:t xml:space="preserve">    Use this as a stress/lifetime prior, not as a direct resistance-drift law.</w:t>
              <w:br/>
              <w:br/>
              <w:t>Phenomenological observable drift (separate from Black):</w:t>
              <w:br/>
              <w:t xml:space="preserve">    Delta R(t) = c * t^beta</w:t>
              <w:br/>
              <w:t xml:space="preserve">    This is a tunable trajectory form, not a universal electromigration equation.</w:t>
              <w:br/>
              <w:br/>
              <w:t>NBTI-inspired regime:</w:t>
              <w:br/>
              <w:t xml:space="preserve">    Delta Vth(t, stress, T) = f_lit(t, stress, T; theta)</w:t>
              <w:br/>
              <w:t xml:space="preserve">    Allow power-law and/or logarithmic regimes only when supported by the selected</w:t>
              <w:br/>
              <w:t xml:space="preserve">    literature model. Do not hard-code “NBTI = ln(t)” as a universal law.</w:t>
            </w:r>
          </w:p>
        </w:tc>
      </w:tr>
    </w:tbl>
    <w:p>
      <w:pPr>
        <w:spacing w:after="100" w:line="254" w:lineRule="auto"/>
      </w:pPr>
      <w:r>
        <w:t>Arrhenius-type acceleration is widely used in semiconductor accelerated-life modelling, but the literature also warns that a single Arrhenius form should not be applied indiscriminately to every failure mechanism. Black’s classic electromigration relation is a mean-time-to-failure model depending on current density and temperature. NBTI modelling commonly includes time exponents and stress/temperature dependence, and the exact physical interpretation remains model-dependent. [R7][R8][R9]</w:t>
      </w:r>
    </w:p>
    <w:p>
      <w:pPr>
        <w:pStyle w:val="Heading2"/>
        <w:keepNext/>
      </w:pPr>
      <w:r>
        <w:t>8.3 Latent state is not the observation</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LOT / COMPONENT PARAMETERS</w:t>
              <w:br/>
              <w:t xml:space="preserve">        |</w:t>
              <w:br/>
              <w:t xml:space="preserve">        v</w:t>
              <w:br/>
              <w:t>LATENT DEGRADATION STATE z(t)</w:t>
              <w:br/>
              <w:t xml:space="preserve">        |</w:t>
              <w:br/>
              <w:t xml:space="preserve">        +--&gt; mechanism mixture</w:t>
              <w:br/>
              <w:t xml:space="preserve">        +--&gt; onset / severity / acceleration</w:t>
              <w:br/>
              <w:t xml:space="preserve">        |</w:t>
              <w:br/>
              <w:t xml:space="preserve">        v</w:t>
              <w:br/>
              <w:t>OBSERVABLE SIGNAL y(t)</w:t>
              <w:br/>
              <w:t xml:space="preserve">        |</w:t>
              <w:br/>
              <w:t xml:space="preserve">        +--&gt; sensor bias</w:t>
              <w:br/>
              <w:t xml:space="preserve">        +--&gt; noise / quantization</w:t>
              <w:br/>
              <w:t xml:space="preserve">        +--&gt; missingness / outlier process</w:t>
              <w:br/>
              <w:t xml:space="preserve">        |</w:t>
              <w:br/>
              <w:t xml:space="preserve">        v</w:t>
              <w:br/>
              <w:t>RECORDED DATA</w:t>
            </w:r>
          </w:p>
        </w:tc>
      </w:tr>
    </w:tbl>
    <w:p>
      <w:pPr>
        <w:spacing w:after="100" w:line="254" w:lineRule="auto"/>
      </w:pPr>
      <w:r>
        <w:t>This separation is essential. A model should learn behaviour from recorded measurements, not receive the hidden mechanism variable as a feature. The mechanism and outcome labels exist only for evaluation and benchmark diagnostics.</w:t>
      </w:r>
    </w:p>
    <w:p>
      <w:pPr>
        <w:pStyle w:val="Heading2"/>
        <w:keepNext/>
      </w:pPr>
      <w:r>
        <w:t>8.4 Anti-shortcut benchmark constraints</w:t>
      </w:r>
    </w:p>
    <w:p>
      <w:pPr>
        <w:pStyle w:val="ListBullet"/>
        <w:spacing w:after="40"/>
        <w:ind w:left="317"/>
      </w:pPr>
      <w:r>
        <w:t>Randomize defect onset, severity, baseline, noise, trajectory shape, sampling density, and missingness independently enough that no single nuisance cue identifies the class.</w:t>
      </w:r>
    </w:p>
    <w:p>
      <w:pPr>
        <w:pStyle w:val="ListBullet"/>
        <w:spacing w:after="40"/>
        <w:ind w:left="317"/>
      </w:pPr>
      <w:r>
        <w:t>Allow healthy trajectories to contain harmless drift and transient spikes, and defective trajectories to overlap with healthy ranges during early stages.</w:t>
      </w:r>
    </w:p>
    <w:p>
      <w:pPr>
        <w:pStyle w:val="ListBullet"/>
        <w:spacing w:after="40"/>
        <w:ind w:left="317"/>
      </w:pPr>
      <w:r>
        <w:t>Hold out combinations of mechanism family, onset region, and parameter ranges from development so the final test measures interpolation and extrapolation rather than template memorization.</w:t>
      </w:r>
    </w:p>
    <w:p>
      <w:pPr>
        <w:pStyle w:val="ListBullet"/>
        <w:spacing w:after="40"/>
        <w:ind w:left="317"/>
      </w:pPr>
      <w:r>
        <w:t>Separate mechanism ground truth from operational outcome ground truth. An injected mechanism is not automatically equivalent to a risky component.</w:t>
      </w:r>
    </w:p>
    <w:p>
      <w:pPr>
        <w:pStyle w:val="ListBullet"/>
        <w:spacing w:after="40"/>
        <w:ind w:left="317"/>
      </w:pPr>
      <w:r>
        <w:t>Maintain a benchmark hardness audit: trivial feature models must not approach perfect performance on the hidden test.</w:t>
      </w:r>
    </w:p>
    <w:p>
      <w:pPr>
        <w:pStyle w:val="Heading2"/>
        <w:keepNext/>
      </w:pPr>
      <w:r>
        <w:t>8.5 Benchmark families and splits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83A5A"/>
            <w:tcMar>
              <w:top w:w="80" w:type="dxa"/>
              <w:start w:w="90" w:type="dxa"/>
              <w:bottom w:w="80" w:type="dxa"/>
              <w:end w:w="90" w:type="dxa"/>
            </w:tcMar>
            <w:vAlign w:val="center"/>
          </w:tcPr>
          <w:p>
            <w:pPr>
              <w:jc w:val="left"/>
            </w:pPr>
            <w:r>
              <w:rPr>
                <w:b/>
                <w:color w:val="FFFFFF"/>
                <w:sz w:val="16"/>
              </w:rPr>
              <w:t>Benchmark view</w:t>
            </w:r>
          </w:p>
        </w:tc>
        <w:tc>
          <w:tcPr>
            <w:tcW w:type="dxa" w:w="6624"/>
            <w:shd w:fill="183A5A"/>
            <w:tcMar>
              <w:top w:w="80" w:type="dxa"/>
              <w:start w:w="90" w:type="dxa"/>
              <w:bottom w:w="80" w:type="dxa"/>
              <w:end w:w="90" w:type="dxa"/>
            </w:tcMar>
            <w:vAlign w:val="center"/>
          </w:tcPr>
          <w:p>
            <w:pPr>
              <w:jc w:val="left"/>
            </w:pPr>
            <w:r>
              <w:rPr>
                <w:b/>
                <w:color w:val="FFFFFF"/>
                <w:sz w:val="16"/>
              </w:rPr>
              <w:t>Purpose</w:t>
            </w:r>
          </w:p>
        </w:tc>
      </w:tr>
      <w:tr>
        <w:trPr>
          <w:cantSplit/>
        </w:trPr>
        <w:tc>
          <w:tcPr>
            <w:tcW w:type="dxa" w:w="3168"/>
            <w:shd w:fill="FFFFFF"/>
            <w:tcMar>
              <w:top w:w="80" w:type="dxa"/>
              <w:start w:w="90" w:type="dxa"/>
              <w:bottom w:w="80" w:type="dxa"/>
              <w:end w:w="90" w:type="dxa"/>
            </w:tcMar>
            <w:vAlign w:val="top"/>
          </w:tcPr>
          <w:p>
            <w:pPr>
              <w:spacing w:after="0"/>
            </w:pPr>
            <w:r>
              <w:rPr>
                <w:color w:val="1F2933"/>
                <w:sz w:val="16"/>
              </w:rPr>
              <w:t>In-distribution</w:t>
            </w:r>
          </w:p>
        </w:tc>
        <w:tc>
          <w:tcPr>
            <w:tcW w:type="dxa" w:w="6624"/>
            <w:shd w:fill="FFFFFF"/>
            <w:tcMar>
              <w:top w:w="80" w:type="dxa"/>
              <w:start w:w="90" w:type="dxa"/>
              <w:bottom w:w="80" w:type="dxa"/>
              <w:end w:w="90" w:type="dxa"/>
            </w:tcMar>
            <w:vAlign w:val="top"/>
          </w:tcPr>
          <w:p>
            <w:pPr>
              <w:spacing w:after="0"/>
            </w:pPr>
            <w:r>
              <w:rPr>
                <w:color w:val="1F2933"/>
                <w:sz w:val="16"/>
              </w:rPr>
              <w:t>Basic model development and calibration</w:t>
            </w:r>
          </w:p>
        </w:tc>
      </w:tr>
      <w:tr>
        <w:trPr>
          <w:cantSplit/>
        </w:trPr>
        <w:tc>
          <w:tcPr>
            <w:tcW w:type="dxa" w:w="3168"/>
            <w:shd w:fill="F4F7F9"/>
            <w:tcMar>
              <w:top w:w="80" w:type="dxa"/>
              <w:start w:w="90" w:type="dxa"/>
              <w:bottom w:w="80" w:type="dxa"/>
              <w:end w:w="90" w:type="dxa"/>
            </w:tcMar>
            <w:vAlign w:val="top"/>
          </w:tcPr>
          <w:p>
            <w:pPr>
              <w:spacing w:after="0"/>
            </w:pPr>
            <w:r>
              <w:rPr>
                <w:color w:val="1F2933"/>
                <w:sz w:val="16"/>
              </w:rPr>
              <w:t>Unseen-lot</w:t>
            </w:r>
          </w:p>
        </w:tc>
        <w:tc>
          <w:tcPr>
            <w:tcW w:type="dxa" w:w="6624"/>
            <w:shd w:fill="F4F7F9"/>
            <w:tcMar>
              <w:top w:w="80" w:type="dxa"/>
              <w:start w:w="90" w:type="dxa"/>
              <w:bottom w:w="80" w:type="dxa"/>
              <w:end w:w="90" w:type="dxa"/>
            </w:tcMar>
            <w:vAlign w:val="top"/>
          </w:tcPr>
          <w:p>
            <w:pPr>
              <w:spacing w:after="0"/>
            </w:pPr>
            <w:r>
              <w:rPr>
                <w:color w:val="1F2933"/>
                <w:sz w:val="16"/>
              </w:rPr>
              <w:t>Test generalization to new production distributions</w:t>
            </w:r>
          </w:p>
        </w:tc>
      </w:tr>
      <w:tr>
        <w:trPr>
          <w:cantSplit/>
        </w:trPr>
        <w:tc>
          <w:tcPr>
            <w:tcW w:type="dxa" w:w="3168"/>
            <w:shd w:fill="FFFFFF"/>
            <w:tcMar>
              <w:top w:w="80" w:type="dxa"/>
              <w:start w:w="90" w:type="dxa"/>
              <w:bottom w:w="80" w:type="dxa"/>
              <w:end w:w="90" w:type="dxa"/>
            </w:tcMar>
            <w:vAlign w:val="top"/>
          </w:tcPr>
          <w:p>
            <w:pPr>
              <w:spacing w:after="0"/>
            </w:pPr>
            <w:r>
              <w:rPr>
                <w:color w:val="1F2933"/>
                <w:sz w:val="16"/>
              </w:rPr>
              <w:t>Unseen-mechanism / parameter holdout</w:t>
            </w:r>
          </w:p>
        </w:tc>
        <w:tc>
          <w:tcPr>
            <w:tcW w:type="dxa" w:w="6624"/>
            <w:shd w:fill="FFFFFF"/>
            <w:tcMar>
              <w:top w:w="80" w:type="dxa"/>
              <w:start w:w="90" w:type="dxa"/>
              <w:bottom w:w="80" w:type="dxa"/>
              <w:end w:w="90" w:type="dxa"/>
            </w:tcMar>
            <w:vAlign w:val="top"/>
          </w:tcPr>
          <w:p>
            <w:pPr>
              <w:spacing w:after="0"/>
            </w:pPr>
            <w:r>
              <w:rPr>
                <w:color w:val="1F2933"/>
                <w:sz w:val="16"/>
              </w:rPr>
              <w:t>Block generator-template memorization</w:t>
            </w:r>
          </w:p>
        </w:tc>
      </w:tr>
      <w:tr>
        <w:trPr>
          <w:cantSplit/>
        </w:trPr>
        <w:tc>
          <w:tcPr>
            <w:tcW w:type="dxa" w:w="3168"/>
            <w:shd w:fill="F4F7F9"/>
            <w:tcMar>
              <w:top w:w="80" w:type="dxa"/>
              <w:start w:w="90" w:type="dxa"/>
              <w:bottom w:w="80" w:type="dxa"/>
              <w:end w:w="90" w:type="dxa"/>
            </w:tcMar>
            <w:vAlign w:val="top"/>
          </w:tcPr>
          <w:p>
            <w:pPr>
              <w:spacing w:after="0"/>
            </w:pPr>
            <w:r>
              <w:rPr>
                <w:color w:val="1F2933"/>
                <w:sz w:val="16"/>
              </w:rPr>
              <w:t>Cross-lot shift ladder</w:t>
            </w:r>
          </w:p>
        </w:tc>
        <w:tc>
          <w:tcPr>
            <w:tcW w:type="dxa" w:w="6624"/>
            <w:shd w:fill="F4F7F9"/>
            <w:tcMar>
              <w:top w:w="80" w:type="dxa"/>
              <w:start w:w="90" w:type="dxa"/>
              <w:bottom w:w="80" w:type="dxa"/>
              <w:end w:w="90" w:type="dxa"/>
            </w:tcMar>
            <w:vAlign w:val="top"/>
          </w:tcPr>
          <w:p>
            <w:pPr>
              <w:spacing w:after="0"/>
            </w:pPr>
            <w:r>
              <w:rPr>
                <w:color w:val="1F2933"/>
                <w:sz w:val="16"/>
              </w:rPr>
              <w:t>Controlled severity sweep for the conformal degradation experiment</w:t>
            </w:r>
          </w:p>
        </w:tc>
      </w:tr>
      <w:tr>
        <w:trPr>
          <w:cantSplit/>
        </w:trPr>
        <w:tc>
          <w:tcPr>
            <w:tcW w:type="dxa" w:w="3168"/>
            <w:shd w:fill="FFFFFF"/>
            <w:tcMar>
              <w:top w:w="80" w:type="dxa"/>
              <w:start w:w="90" w:type="dxa"/>
              <w:bottom w:w="80" w:type="dxa"/>
              <w:end w:w="90" w:type="dxa"/>
            </w:tcMar>
            <w:vAlign w:val="top"/>
          </w:tcPr>
          <w:p>
            <w:pPr>
              <w:spacing w:after="0"/>
            </w:pPr>
            <w:r>
              <w:rPr>
                <w:color w:val="1F2933"/>
                <w:sz w:val="16"/>
              </w:rPr>
              <w:t>Contamination stress</w:t>
            </w:r>
          </w:p>
        </w:tc>
        <w:tc>
          <w:tcPr>
            <w:tcW w:type="dxa" w:w="6624"/>
            <w:shd w:fill="FFFFFF"/>
            <w:tcMar>
              <w:top w:w="80" w:type="dxa"/>
              <w:start w:w="90" w:type="dxa"/>
              <w:bottom w:w="80" w:type="dxa"/>
              <w:end w:w="90" w:type="dxa"/>
            </w:tcMar>
            <w:vAlign w:val="top"/>
          </w:tcPr>
          <w:p>
            <w:pPr>
              <w:spacing w:after="0"/>
            </w:pPr>
            <w:r>
              <w:rPr>
                <w:color w:val="1F2933"/>
                <w:sz w:val="16"/>
              </w:rPr>
              <w:t>Test robust lot estimation when defective prevalence rises</w:t>
            </w:r>
          </w:p>
        </w:tc>
      </w:tr>
      <w:tr>
        <w:trPr>
          <w:cantSplit/>
        </w:trPr>
        <w:tc>
          <w:tcPr>
            <w:tcW w:type="dxa" w:w="3168"/>
            <w:shd w:fill="F4F7F9"/>
            <w:tcMar>
              <w:top w:w="80" w:type="dxa"/>
              <w:start w:w="90" w:type="dxa"/>
              <w:bottom w:w="80" w:type="dxa"/>
              <w:end w:w="90" w:type="dxa"/>
            </w:tcMar>
            <w:vAlign w:val="top"/>
          </w:tcPr>
          <w:p>
            <w:pPr>
              <w:spacing w:after="0"/>
            </w:pPr>
            <w:r>
              <w:rPr>
                <w:color w:val="1F2933"/>
                <w:sz w:val="16"/>
              </w:rPr>
              <w:t>Missingness / sensor stress</w:t>
            </w:r>
          </w:p>
        </w:tc>
        <w:tc>
          <w:tcPr>
            <w:tcW w:type="dxa" w:w="6624"/>
            <w:shd w:fill="F4F7F9"/>
            <w:tcMar>
              <w:top w:w="80" w:type="dxa"/>
              <w:start w:w="90" w:type="dxa"/>
              <w:bottom w:w="80" w:type="dxa"/>
              <w:end w:w="90" w:type="dxa"/>
            </w:tcMar>
            <w:vAlign w:val="top"/>
          </w:tcPr>
          <w:p>
            <w:pPr>
              <w:spacing w:after="0"/>
            </w:pPr>
            <w:r>
              <w:rPr>
                <w:color w:val="1F2933"/>
                <w:sz w:val="16"/>
              </w:rPr>
              <w:t>Measure graceful degradation under observation failures</w:t>
            </w:r>
          </w:p>
        </w:tc>
      </w:tr>
      <w:tr>
        <w:trPr>
          <w:cantSplit/>
        </w:trPr>
        <w:tc>
          <w:tcPr>
            <w:tcW w:type="dxa" w:w="3168"/>
            <w:shd w:fill="FFFFFF"/>
            <w:tcMar>
              <w:top w:w="80" w:type="dxa"/>
              <w:start w:w="90" w:type="dxa"/>
              <w:bottom w:w="80" w:type="dxa"/>
              <w:end w:w="90" w:type="dxa"/>
            </w:tcMar>
            <w:vAlign w:val="top"/>
          </w:tcPr>
          <w:p>
            <w:pPr>
              <w:spacing w:after="0"/>
            </w:pPr>
            <w:r>
              <w:rPr>
                <w:color w:val="1F2933"/>
                <w:sz w:val="16"/>
              </w:rPr>
              <w:t>Frozen hidden test</w:t>
            </w:r>
          </w:p>
        </w:tc>
        <w:tc>
          <w:tcPr>
            <w:tcW w:type="dxa" w:w="6624"/>
            <w:shd w:fill="FFFFFF"/>
            <w:tcMar>
              <w:top w:w="80" w:type="dxa"/>
              <w:start w:w="90" w:type="dxa"/>
              <w:bottom w:w="80" w:type="dxa"/>
              <w:end w:w="90" w:type="dxa"/>
            </w:tcMar>
            <w:vAlign w:val="top"/>
          </w:tcPr>
          <w:p>
            <w:pPr>
              <w:spacing w:after="0"/>
            </w:pPr>
            <w:r>
              <w:rPr>
                <w:color w:val="1F2933"/>
                <w:sz w:val="16"/>
              </w:rPr>
              <w:t>Protect the final claims from iterative tuning</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8B2E2E"/>
              </w:rPr>
              <w:t>Benchmark publication rule</w:t>
            </w:r>
          </w:p>
          <w:p>
            <w:pPr>
              <w:spacing w:after="0"/>
            </w:pPr>
            <w:r>
              <w:t>Describe BurnIn-Bench as a controlled model-based benchmark or experimental abstraction. Do not call it “ISRO-realistic” unless future domain evidence actually supports the simulator parameters.</w:t>
            </w:r>
          </w:p>
        </w:tc>
      </w:tr>
    </w:tbl>
    <w:p>
      <w:pPr>
        <w:pStyle w:val="Heading1"/>
        <w:keepNext/>
      </w:pPr>
      <w:r>
        <w:t>9. Core ML Methodology</w:t>
      </w:r>
    </w:p>
    <w:p>
      <w:pPr>
        <w:spacing w:after="100" w:line="254" w:lineRule="auto"/>
      </w:pPr>
      <w:r>
        <w:t>The implementation order is deliberately simple-to-complex. A small, well-controlled model that survives the benchmark and unseen-lot tests is more scientifically useful than a large architecture that cannot be isolated from data leakage or simulator artifacts.</w:t>
      </w:r>
    </w:p>
    <w:p>
      <w:pPr>
        <w:pStyle w:val="Heading2"/>
        <w:keepNext/>
      </w:pPr>
      <w:r>
        <w:t>9.1 Baseline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83A5A"/>
            <w:tcMar>
              <w:top w:w="80" w:type="dxa"/>
              <w:start w:w="90" w:type="dxa"/>
              <w:bottom w:w="80" w:type="dxa"/>
              <w:end w:w="90" w:type="dxa"/>
            </w:tcMar>
            <w:vAlign w:val="center"/>
          </w:tcPr>
          <w:p>
            <w:pPr>
              <w:jc w:val="left"/>
            </w:pPr>
            <w:r>
              <w:rPr>
                <w:b/>
                <w:color w:val="FFFFFF"/>
                <w:sz w:val="16"/>
              </w:rPr>
              <w:t>Tier</w:t>
            </w:r>
          </w:p>
        </w:tc>
        <w:tc>
          <w:tcPr>
            <w:tcW w:type="dxa" w:w="4320"/>
            <w:shd w:fill="183A5A"/>
            <w:tcMar>
              <w:top w:w="80" w:type="dxa"/>
              <w:start w:w="90" w:type="dxa"/>
              <w:bottom w:w="80" w:type="dxa"/>
              <w:end w:w="90" w:type="dxa"/>
            </w:tcMar>
            <w:vAlign w:val="center"/>
          </w:tcPr>
          <w:p>
            <w:pPr>
              <w:jc w:val="left"/>
            </w:pPr>
            <w:r>
              <w:rPr>
                <w:b/>
                <w:color w:val="FFFFFF"/>
                <w:sz w:val="16"/>
              </w:rPr>
              <w:t>Method</w:t>
            </w:r>
          </w:p>
        </w:tc>
        <w:tc>
          <w:tcPr>
            <w:tcW w:type="dxa" w:w="4608"/>
            <w:shd w:fill="183A5A"/>
            <w:tcMar>
              <w:top w:w="80" w:type="dxa"/>
              <w:start w:w="90" w:type="dxa"/>
              <w:bottom w:w="80" w:type="dxa"/>
              <w:end w:w="90" w:type="dxa"/>
            </w:tcMar>
            <w:vAlign w:val="center"/>
          </w:tcPr>
          <w:p>
            <w:pPr>
              <w:jc w:val="left"/>
            </w:pPr>
            <w:r>
              <w:rPr>
                <w:b/>
                <w:color w:val="FFFFFF"/>
                <w:sz w:val="16"/>
              </w:rPr>
              <w:t>Question answered</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B0</w:t>
            </w:r>
          </w:p>
        </w:tc>
        <w:tc>
          <w:tcPr>
            <w:tcW w:type="dxa" w:w="4320"/>
            <w:shd w:fill="FFFFFF"/>
            <w:tcMar>
              <w:top w:w="80" w:type="dxa"/>
              <w:start w:w="90" w:type="dxa"/>
              <w:bottom w:w="80" w:type="dxa"/>
              <w:end w:w="90" w:type="dxa"/>
            </w:tcMar>
            <w:vAlign w:val="top"/>
          </w:tcPr>
          <w:p>
            <w:pPr>
              <w:spacing w:after="0"/>
            </w:pPr>
            <w:r>
              <w:rPr>
                <w:color w:val="1F2933"/>
                <w:sz w:val="16"/>
              </w:rPr>
              <w:t>Static engineering threshold</w:t>
            </w:r>
          </w:p>
        </w:tc>
        <w:tc>
          <w:tcPr>
            <w:tcW w:type="dxa" w:w="4608"/>
            <w:shd w:fill="FFFFFF"/>
            <w:tcMar>
              <w:top w:w="80" w:type="dxa"/>
              <w:start w:w="90" w:type="dxa"/>
              <w:bottom w:w="80" w:type="dxa"/>
              <w:end w:w="90" w:type="dxa"/>
            </w:tcMar>
            <w:vAlign w:val="top"/>
          </w:tcPr>
          <w:p>
            <w:pPr>
              <w:spacing w:after="0"/>
            </w:pPr>
            <w:r>
              <w:rPr>
                <w:color w:val="1F2933"/>
                <w:sz w:val="16"/>
              </w:rPr>
              <w:t>What does absolute screening catch?</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B1</w:t>
            </w:r>
          </w:p>
        </w:tc>
        <w:tc>
          <w:tcPr>
            <w:tcW w:type="dxa" w:w="4320"/>
            <w:shd w:fill="F4F7F9"/>
            <w:tcMar>
              <w:top w:w="80" w:type="dxa"/>
              <w:start w:w="90" w:type="dxa"/>
              <w:bottom w:w="80" w:type="dxa"/>
              <w:end w:w="90" w:type="dxa"/>
            </w:tcMar>
            <w:vAlign w:val="top"/>
          </w:tcPr>
          <w:p>
            <w:pPr>
              <w:spacing w:after="0"/>
            </w:pPr>
            <w:r>
              <w:rPr>
                <w:color w:val="1F2933"/>
                <w:sz w:val="16"/>
              </w:rPr>
              <w:t>Robust lot statistics: median/MAD and percentile rules</w:t>
            </w:r>
          </w:p>
        </w:tc>
        <w:tc>
          <w:tcPr>
            <w:tcW w:type="dxa" w:w="4608"/>
            <w:shd w:fill="F4F7F9"/>
            <w:tcMar>
              <w:top w:w="80" w:type="dxa"/>
              <w:start w:w="90" w:type="dxa"/>
              <w:bottom w:w="80" w:type="dxa"/>
              <w:end w:w="90" w:type="dxa"/>
            </w:tcMar>
            <w:vAlign w:val="top"/>
          </w:tcPr>
          <w:p>
            <w:pPr>
              <w:spacing w:after="0"/>
            </w:pPr>
            <w:r>
              <w:rPr>
                <w:color w:val="1F2933"/>
                <w:sz w:val="16"/>
              </w:rPr>
              <w:t>What does peer-relative statistics catch?</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B2</w:t>
            </w:r>
          </w:p>
        </w:tc>
        <w:tc>
          <w:tcPr>
            <w:tcW w:type="dxa" w:w="4320"/>
            <w:shd w:fill="FFFFFF"/>
            <w:tcMar>
              <w:top w:w="80" w:type="dxa"/>
              <w:start w:w="90" w:type="dxa"/>
              <w:bottom w:w="80" w:type="dxa"/>
              <w:end w:w="90" w:type="dxa"/>
            </w:tcMar>
            <w:vAlign w:val="top"/>
          </w:tcPr>
          <w:p>
            <w:pPr>
              <w:spacing w:after="0"/>
            </w:pPr>
            <w:r>
              <w:rPr>
                <w:color w:val="1F2933"/>
                <w:sz w:val="16"/>
              </w:rPr>
              <w:t>Isolation Forest / One-Class / Mahalanobis</w:t>
            </w:r>
          </w:p>
        </w:tc>
        <w:tc>
          <w:tcPr>
            <w:tcW w:type="dxa" w:w="4608"/>
            <w:shd w:fill="FFFFFF"/>
            <w:tcMar>
              <w:top w:w="80" w:type="dxa"/>
              <w:start w:w="90" w:type="dxa"/>
              <w:bottom w:w="80" w:type="dxa"/>
              <w:end w:w="90" w:type="dxa"/>
            </w:tcMar>
            <w:vAlign w:val="top"/>
          </w:tcPr>
          <w:p>
            <w:pPr>
              <w:spacing w:after="0"/>
            </w:pPr>
            <w:r>
              <w:rPr>
                <w:color w:val="1F2933"/>
                <w:sz w:val="16"/>
              </w:rPr>
              <w:t>What do conventional unsupervised detectors add?</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B3</w:t>
            </w:r>
          </w:p>
        </w:tc>
        <w:tc>
          <w:tcPr>
            <w:tcW w:type="dxa" w:w="4320"/>
            <w:shd w:fill="F4F7F9"/>
            <w:tcMar>
              <w:top w:w="80" w:type="dxa"/>
              <w:start w:w="90" w:type="dxa"/>
              <w:bottom w:w="80" w:type="dxa"/>
              <w:end w:w="90" w:type="dxa"/>
            </w:tcMar>
            <w:vAlign w:val="top"/>
          </w:tcPr>
          <w:p>
            <w:pPr>
              <w:spacing w:after="0"/>
            </w:pPr>
            <w:r>
              <w:rPr>
                <w:color w:val="1F2933"/>
                <w:sz w:val="16"/>
              </w:rPr>
              <w:t>Supervised RF / XGBoost / MLP</w:t>
            </w:r>
          </w:p>
        </w:tc>
        <w:tc>
          <w:tcPr>
            <w:tcW w:type="dxa" w:w="4608"/>
            <w:shd w:fill="F4F7F9"/>
            <w:tcMar>
              <w:top w:w="80" w:type="dxa"/>
              <w:start w:w="90" w:type="dxa"/>
              <w:bottom w:w="80" w:type="dxa"/>
              <w:end w:w="90" w:type="dxa"/>
            </w:tcMar>
            <w:vAlign w:val="top"/>
          </w:tcPr>
          <w:p>
            <w:pPr>
              <w:spacing w:after="0"/>
            </w:pPr>
            <w:r>
              <w:rPr>
                <w:color w:val="1F2933"/>
                <w:sz w:val="16"/>
              </w:rPr>
              <w:t>What if labelled data are sufficient?</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B4</w:t>
            </w:r>
          </w:p>
        </w:tc>
        <w:tc>
          <w:tcPr>
            <w:tcW w:type="dxa" w:w="4320"/>
            <w:shd w:fill="FFFFFF"/>
            <w:tcMar>
              <w:top w:w="80" w:type="dxa"/>
              <w:start w:w="90" w:type="dxa"/>
              <w:bottom w:w="80" w:type="dxa"/>
              <w:end w:w="90" w:type="dxa"/>
            </w:tcMar>
            <w:vAlign w:val="top"/>
          </w:tcPr>
          <w:p>
            <w:pPr>
              <w:spacing w:after="0"/>
            </w:pPr>
            <w:r>
              <w:rPr>
                <w:color w:val="1F2933"/>
                <w:sz w:val="16"/>
              </w:rPr>
              <w:t>Self-supervised temporal encoder + small head</w:t>
            </w:r>
          </w:p>
        </w:tc>
        <w:tc>
          <w:tcPr>
            <w:tcW w:type="dxa" w:w="4608"/>
            <w:shd w:fill="FFFFFF"/>
            <w:tcMar>
              <w:top w:w="80" w:type="dxa"/>
              <w:start w:w="90" w:type="dxa"/>
              <w:bottom w:w="80" w:type="dxa"/>
              <w:end w:w="90" w:type="dxa"/>
            </w:tcMar>
            <w:vAlign w:val="top"/>
          </w:tcPr>
          <w:p>
            <w:pPr>
              <w:spacing w:after="0"/>
            </w:pPr>
            <w:r>
              <w:rPr>
                <w:color w:val="1F2933"/>
                <w:sz w:val="16"/>
              </w:rPr>
              <w:t>Does unlabeled pretraining improve low-label performance?</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B5</w:t>
            </w:r>
          </w:p>
        </w:tc>
        <w:tc>
          <w:tcPr>
            <w:tcW w:type="dxa" w:w="4320"/>
            <w:shd w:fill="F4F7F9"/>
            <w:tcMar>
              <w:top w:w="80" w:type="dxa"/>
              <w:start w:w="90" w:type="dxa"/>
              <w:bottom w:w="80" w:type="dxa"/>
              <w:end w:w="90" w:type="dxa"/>
            </w:tcMar>
            <w:vAlign w:val="top"/>
          </w:tcPr>
          <w:p>
            <w:pPr>
              <w:spacing w:after="0"/>
            </w:pPr>
            <w:r>
              <w:rPr>
                <w:color w:val="1F2933"/>
                <w:sz w:val="16"/>
              </w:rPr>
              <w:t>Lot-conditioned proposed framework</w:t>
            </w:r>
          </w:p>
        </w:tc>
        <w:tc>
          <w:tcPr>
            <w:tcW w:type="dxa" w:w="4608"/>
            <w:shd w:fill="F4F7F9"/>
            <w:tcMar>
              <w:top w:w="80" w:type="dxa"/>
              <w:start w:w="90" w:type="dxa"/>
              <w:bottom w:w="80" w:type="dxa"/>
              <w:end w:w="90" w:type="dxa"/>
            </w:tcMar>
            <w:vAlign w:val="top"/>
          </w:tcPr>
          <w:p>
            <w:pPr>
              <w:spacing w:after="0"/>
            </w:pPr>
            <w:r>
              <w:rPr>
                <w:color w:val="1F2933"/>
                <w:sz w:val="16"/>
              </w:rPr>
              <w:t>Does explicit peer context + temporal evidence + trust improve robustness?</w:t>
            </w:r>
          </w:p>
        </w:tc>
      </w:tr>
    </w:tbl>
    <w:p>
      <w:pPr>
        <w:spacing w:after="40"/>
      </w:pPr>
    </w:p>
    <w:p>
      <w:pPr>
        <w:pStyle w:val="Heading2"/>
        <w:keepNext/>
      </w:pPr>
      <w:r>
        <w:t>9.2 REPRESENT: self-supervised temporal representation</w:t>
      </w:r>
    </w:p>
    <w:p>
      <w:pPr>
        <w:pStyle w:val="ListBullet"/>
        <w:spacing w:after="40"/>
        <w:ind w:left="317"/>
      </w:pPr>
      <w:r>
        <w:t>Masked temporal reconstruction: hide observations and reconstruct them.</w:t>
      </w:r>
    </w:p>
    <w:p>
      <w:pPr>
        <w:pStyle w:val="ListBullet"/>
        <w:spacing w:after="40"/>
        <w:ind w:left="317"/>
      </w:pPr>
      <w:r>
        <w:t>Denoising objective: reconstruct clean structure from realistic measurement corruption.</w:t>
      </w:r>
    </w:p>
    <w:p>
      <w:pPr>
        <w:pStyle w:val="ListBullet"/>
        <w:spacing w:after="40"/>
        <w:ind w:left="317"/>
      </w:pPr>
      <w:r>
        <w:t>Temporal contrastive learning: pair plausible views of the same trajectory.</w:t>
      </w:r>
    </w:p>
    <w:p>
      <w:pPr>
        <w:pStyle w:val="ListBullet"/>
        <w:spacing w:after="40"/>
        <w:ind w:left="317"/>
      </w:pPr>
      <w:r>
        <w:t>Candidate encoders: 1D CNN/TCN, GRU, or small Transformer; choose by data size and empirical performance.</w:t>
      </w:r>
    </w:p>
    <w:p>
      <w:pPr>
        <w:pStyle w:val="ListBullet"/>
        <w:spacing w:after="40"/>
        <w:ind w:left="317"/>
      </w:pPr>
      <w:r>
        <w:t>Input views: absolute/normalized trajectory + lot-relative residual trajectory + missingness mask + stage/time embedding.</w:t>
      </w:r>
    </w:p>
    <w:p>
      <w:pPr>
        <w:pStyle w:val="Heading2"/>
        <w:keepNext/>
      </w:pPr>
      <w:r>
        <w:t>9.3 DETECT: dynamic anomaly evidence</w:t>
      </w:r>
    </w:p>
    <w:p>
      <w:pPr>
        <w:spacing w:after="100" w:line="254" w:lineRule="auto"/>
      </w:pPr>
      <w:r>
        <w:t>Retain interpretable evidence channels rather than collapsing everything immediately into one opaque score. The minimum evidence set is: absolute specification status, peer-relative deviation, temporal-change evidence, representation-space novelty, and future-risk evidence from PREDICT. A fused score or calibrated decision can then be built over these channels.</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peer_residual(i,p,t) = [x(i,p,t) - lot_center(p,t)] / [lot_scale(p,t) + eps]</w:t>
              <w:br/>
              <w:br/>
              <w:t>anomaly_evidence = {</w:t>
              <w:br/>
              <w:t xml:space="preserve">  spec_status,</w:t>
              <w:br/>
              <w:t xml:space="preserve">  peer_residual,</w:t>
              <w:br/>
              <w:t xml:space="preserve">  temporal_change,</w:t>
              <w:br/>
              <w:t xml:space="preserve">  representation_distance,</w:t>
              <w:br/>
              <w:t xml:space="preserve">  predicted_future_risk</w:t>
              <w:br/>
              <w:t>}</w:t>
            </w:r>
          </w:p>
        </w:tc>
      </w:tr>
    </w:tbl>
    <w:p>
      <w:pPr>
        <w:pStyle w:val="Heading2"/>
        <w:keepNext/>
      </w:pPr>
      <w:r>
        <w:t>9.4 PREDICT: early drift forecasting</w:t>
      </w:r>
    </w:p>
    <w:p>
      <w:pPr>
        <w:spacing w:after="100" w:line="254" w:lineRule="auto"/>
      </w:pPr>
      <w:r>
        <w:t>The primary early-warning task is 0h + 24h -&gt; 168h. Any 96h-assisted model is a separate later-stage scenario and cannot be mixed with the primary 24h result.</w:t>
      </w:r>
    </w:p>
    <w:p>
      <w:pPr>
        <w:pStyle w:val="ListBullet"/>
        <w:spacing w:after="40"/>
        <w:ind w:left="317"/>
      </w:pPr>
      <w:r>
        <w:t>Point models: linear regression, RF, XGBoost, MLP.</w:t>
      </w:r>
    </w:p>
    <w:p>
      <w:pPr>
        <w:pStyle w:val="ListBullet"/>
        <w:spacing w:after="40"/>
        <w:ind w:left="317"/>
      </w:pPr>
      <w:r>
        <w:t>Temporal models: small TCN/GRU/Transformer if the data justify them.</w:t>
      </w:r>
    </w:p>
    <w:p>
      <w:pPr>
        <w:pStyle w:val="ListBullet"/>
        <w:spacing w:after="40"/>
        <w:ind w:left="317"/>
      </w:pPr>
      <w:r>
        <w:t>Inputs: early raw values, normalized values, slopes/changes, peer-relative residuals, and learned temporal embeddings.</w:t>
      </w:r>
    </w:p>
    <w:p>
      <w:pPr>
        <w:pStyle w:val="ListBullet"/>
        <w:spacing w:after="40"/>
        <w:ind w:left="317"/>
      </w:pPr>
      <w:r>
        <w:t>Every feature is tagged with the latest information timestamp available at prediction time.</w:t>
      </w:r>
    </w:p>
    <w:p>
      <w:pPr>
        <w:pStyle w:val="Heading2"/>
        <w:keepNext/>
      </w:pPr>
      <w:r>
        <w:t>9.5 TRUST interface to the core models</w:t>
      </w:r>
    </w:p>
    <w:p>
      <w:pPr>
        <w:spacing w:after="100" w:line="254" w:lineRule="auto"/>
      </w:pPr>
      <w:r>
        <w:t>TRUST does not create a new opaque predictor. It consumes the output of DETECT and PREDICT, monitors whether the deployment distribution differs from calibration data, and attaches uncertainty / selective-decision information. This allows the research paper to distinguish “the model is wrong” from “the model is outside its familiar calibration regime.”</w:t>
      </w:r>
    </w:p>
    <w:p>
      <w:pPr>
        <w:pStyle w:val="Heading1"/>
        <w:keepNext/>
      </w:pPr>
      <w:r>
        <w:t>10. Cross-Lot Distribution Shift and Robustness</w:t>
      </w:r>
    </w:p>
    <w:p>
      <w:pPr>
        <w:spacing w:after="100" w:line="254" w:lineRule="auto"/>
      </w:pPr>
      <w:r>
        <w:t>Distribution shift is a central part of the project rather than a decorative robustness feature. The core publication experiment requires a controlled family of new lots whose data distributions move away from the calibration regime in measured steps.</w:t>
      </w:r>
    </w:p>
    <w:p>
      <w:pPr>
        <w:pStyle w:val="Heading2"/>
        <w:keepNext/>
      </w:pPr>
      <w:r>
        <w:t>10.1 Shift taxonomy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83A5A"/>
            <w:tcMar>
              <w:top w:w="80" w:type="dxa"/>
              <w:start w:w="90" w:type="dxa"/>
              <w:bottom w:w="80" w:type="dxa"/>
              <w:end w:w="90" w:type="dxa"/>
            </w:tcMar>
            <w:vAlign w:val="center"/>
          </w:tcPr>
          <w:p>
            <w:pPr>
              <w:jc w:val="left"/>
            </w:pPr>
            <w:r>
              <w:rPr>
                <w:b/>
                <w:color w:val="FFFFFF"/>
                <w:sz w:val="16"/>
              </w:rPr>
              <w:t>Shift type</w:t>
            </w:r>
          </w:p>
        </w:tc>
        <w:tc>
          <w:tcPr>
            <w:tcW w:type="dxa" w:w="4536"/>
            <w:shd w:fill="183A5A"/>
            <w:tcMar>
              <w:top w:w="80" w:type="dxa"/>
              <w:start w:w="90" w:type="dxa"/>
              <w:bottom w:w="80" w:type="dxa"/>
              <w:end w:w="90" w:type="dxa"/>
            </w:tcMar>
            <w:vAlign w:val="center"/>
          </w:tcPr>
          <w:p>
            <w:pPr>
              <w:jc w:val="left"/>
            </w:pPr>
            <w:r>
              <w:rPr>
                <w:b/>
                <w:color w:val="FFFFFF"/>
                <w:sz w:val="16"/>
              </w:rPr>
              <w:t>Controlled intervention</w:t>
            </w:r>
          </w:p>
        </w:tc>
        <w:tc>
          <w:tcPr>
            <w:tcW w:type="dxa" w:w="3312"/>
            <w:shd w:fill="183A5A"/>
            <w:tcMar>
              <w:top w:w="80" w:type="dxa"/>
              <w:start w:w="90" w:type="dxa"/>
              <w:bottom w:w="80" w:type="dxa"/>
              <w:end w:w="90" w:type="dxa"/>
            </w:tcMar>
            <w:vAlign w:val="center"/>
          </w:tcPr>
          <w:p>
            <w:pPr>
              <w:jc w:val="left"/>
            </w:pPr>
            <w:r>
              <w:rPr>
                <w:b/>
                <w:color w:val="FFFFFF"/>
                <w:sz w:val="16"/>
              </w:rPr>
              <w:t>Expected effect</w:t>
            </w:r>
          </w:p>
        </w:tc>
      </w:tr>
      <w:tr>
        <w:trPr>
          <w:cantSplit/>
        </w:trPr>
        <w:tc>
          <w:tcPr>
            <w:tcW w:type="dxa" w:w="1944"/>
            <w:shd w:fill="FFFFFF"/>
            <w:tcMar>
              <w:top w:w="80" w:type="dxa"/>
              <w:start w:w="90" w:type="dxa"/>
              <w:bottom w:w="80" w:type="dxa"/>
              <w:end w:w="90" w:type="dxa"/>
            </w:tcMar>
            <w:vAlign w:val="top"/>
          </w:tcPr>
          <w:p>
            <w:pPr>
              <w:spacing w:after="0"/>
            </w:pPr>
            <w:r>
              <w:rPr>
                <w:color w:val="1F2933"/>
                <w:sz w:val="16"/>
              </w:rPr>
              <w:t>Baseline shift</w:t>
            </w:r>
          </w:p>
        </w:tc>
        <w:tc>
          <w:tcPr>
            <w:tcW w:type="dxa" w:w="4536"/>
            <w:shd w:fill="FFFFFF"/>
            <w:tcMar>
              <w:top w:w="80" w:type="dxa"/>
              <w:start w:w="90" w:type="dxa"/>
              <w:bottom w:w="80" w:type="dxa"/>
              <w:end w:w="90" w:type="dxa"/>
            </w:tcMar>
            <w:vAlign w:val="top"/>
          </w:tcPr>
          <w:p>
            <w:pPr>
              <w:spacing w:after="0"/>
            </w:pPr>
            <w:r>
              <w:rPr>
                <w:color w:val="1F2933"/>
                <w:sz w:val="16"/>
              </w:rPr>
              <w:t>Move lot mean / operating point</w:t>
            </w:r>
          </w:p>
        </w:tc>
        <w:tc>
          <w:tcPr>
            <w:tcW w:type="dxa" w:w="3312"/>
            <w:shd w:fill="FFFFFF"/>
            <w:tcMar>
              <w:top w:w="80" w:type="dxa"/>
              <w:start w:w="90" w:type="dxa"/>
              <w:bottom w:w="80" w:type="dxa"/>
              <w:end w:w="90" w:type="dxa"/>
            </w:tcMar>
            <w:vAlign w:val="top"/>
          </w:tcPr>
          <w:p>
            <w:pPr>
              <w:spacing w:after="0"/>
            </w:pPr>
            <w:r>
              <w:rPr>
                <w:color w:val="1F2933"/>
                <w:sz w:val="16"/>
              </w:rPr>
              <w:t>Peer-relative methods may remain stable while absolute thresholds rise in false alarms</w:t>
            </w:r>
          </w:p>
        </w:tc>
      </w:tr>
      <w:tr>
        <w:trPr>
          <w:cantSplit/>
        </w:trPr>
        <w:tc>
          <w:tcPr>
            <w:tcW w:type="dxa" w:w="1944"/>
            <w:shd w:fill="F4F7F9"/>
            <w:tcMar>
              <w:top w:w="80" w:type="dxa"/>
              <w:start w:w="90" w:type="dxa"/>
              <w:bottom w:w="80" w:type="dxa"/>
              <w:end w:w="90" w:type="dxa"/>
            </w:tcMar>
            <w:vAlign w:val="top"/>
          </w:tcPr>
          <w:p>
            <w:pPr>
              <w:spacing w:after="0"/>
            </w:pPr>
            <w:r>
              <w:rPr>
                <w:color w:val="1F2933"/>
                <w:sz w:val="16"/>
              </w:rPr>
              <w:t>Variance shift</w:t>
            </w:r>
          </w:p>
        </w:tc>
        <w:tc>
          <w:tcPr>
            <w:tcW w:type="dxa" w:w="4536"/>
            <w:shd w:fill="F4F7F9"/>
            <w:tcMar>
              <w:top w:w="80" w:type="dxa"/>
              <w:start w:w="90" w:type="dxa"/>
              <w:bottom w:w="80" w:type="dxa"/>
              <w:end w:w="90" w:type="dxa"/>
            </w:tcMar>
            <w:vAlign w:val="top"/>
          </w:tcPr>
          <w:p>
            <w:pPr>
              <w:spacing w:after="0"/>
            </w:pPr>
            <w:r>
              <w:rPr>
                <w:color w:val="1F2933"/>
                <w:sz w:val="16"/>
              </w:rPr>
              <w:t>Increase or decrease lot dispersion</w:t>
            </w:r>
          </w:p>
        </w:tc>
        <w:tc>
          <w:tcPr>
            <w:tcW w:type="dxa" w:w="3312"/>
            <w:shd w:fill="F4F7F9"/>
            <w:tcMar>
              <w:top w:w="80" w:type="dxa"/>
              <w:start w:w="90" w:type="dxa"/>
              <w:bottom w:w="80" w:type="dxa"/>
              <w:end w:w="90" w:type="dxa"/>
            </w:tcMar>
            <w:vAlign w:val="top"/>
          </w:tcPr>
          <w:p>
            <w:pPr>
              <w:spacing w:after="0"/>
            </w:pPr>
            <w:r>
              <w:rPr>
                <w:color w:val="1F2933"/>
                <w:sz w:val="16"/>
              </w:rPr>
              <w:t>Fixed z/threshold rules become miscalibrated</w:t>
            </w:r>
          </w:p>
        </w:tc>
      </w:tr>
      <w:tr>
        <w:trPr>
          <w:cantSplit/>
        </w:trPr>
        <w:tc>
          <w:tcPr>
            <w:tcW w:type="dxa" w:w="1944"/>
            <w:shd w:fill="FFFFFF"/>
            <w:tcMar>
              <w:top w:w="80" w:type="dxa"/>
              <w:start w:w="90" w:type="dxa"/>
              <w:bottom w:w="80" w:type="dxa"/>
              <w:end w:w="90" w:type="dxa"/>
            </w:tcMar>
            <w:vAlign w:val="top"/>
          </w:tcPr>
          <w:p>
            <w:pPr>
              <w:spacing w:after="0"/>
            </w:pPr>
            <w:r>
              <w:rPr>
                <w:color w:val="1F2933"/>
                <w:sz w:val="16"/>
              </w:rPr>
              <w:t>Noise shift</w:t>
            </w:r>
          </w:p>
        </w:tc>
        <w:tc>
          <w:tcPr>
            <w:tcW w:type="dxa" w:w="4536"/>
            <w:shd w:fill="FFFFFF"/>
            <w:tcMar>
              <w:top w:w="80" w:type="dxa"/>
              <w:start w:w="90" w:type="dxa"/>
              <w:bottom w:w="80" w:type="dxa"/>
              <w:end w:w="90" w:type="dxa"/>
            </w:tcMar>
            <w:vAlign w:val="top"/>
          </w:tcPr>
          <w:p>
            <w:pPr>
              <w:spacing w:after="0"/>
            </w:pPr>
            <w:r>
              <w:rPr>
                <w:color w:val="1F2933"/>
                <w:sz w:val="16"/>
              </w:rPr>
              <w:t>Increase measurement noise / burst noise</w:t>
            </w:r>
          </w:p>
        </w:tc>
        <w:tc>
          <w:tcPr>
            <w:tcW w:type="dxa" w:w="3312"/>
            <w:shd w:fill="FFFFFF"/>
            <w:tcMar>
              <w:top w:w="80" w:type="dxa"/>
              <w:start w:w="90" w:type="dxa"/>
              <w:bottom w:w="80" w:type="dxa"/>
              <w:end w:w="90" w:type="dxa"/>
            </w:tcMar>
            <w:vAlign w:val="top"/>
          </w:tcPr>
          <w:p>
            <w:pPr>
              <w:spacing w:after="0"/>
            </w:pPr>
            <w:r>
              <w:rPr>
                <w:color w:val="1F2933"/>
                <w:sz w:val="16"/>
              </w:rPr>
              <w:t>Intervals should widen; classification should become less decisive</w:t>
            </w:r>
          </w:p>
        </w:tc>
      </w:tr>
      <w:tr>
        <w:trPr>
          <w:cantSplit/>
        </w:trPr>
        <w:tc>
          <w:tcPr>
            <w:tcW w:type="dxa" w:w="1944"/>
            <w:shd w:fill="F4F7F9"/>
            <w:tcMar>
              <w:top w:w="80" w:type="dxa"/>
              <w:start w:w="90" w:type="dxa"/>
              <w:bottom w:w="80" w:type="dxa"/>
              <w:end w:w="90" w:type="dxa"/>
            </w:tcMar>
            <w:vAlign w:val="top"/>
          </w:tcPr>
          <w:p>
            <w:pPr>
              <w:spacing w:after="0"/>
            </w:pPr>
            <w:r>
              <w:rPr>
                <w:color w:val="1F2933"/>
                <w:sz w:val="16"/>
              </w:rPr>
              <w:t>Trajectory shift</w:t>
            </w:r>
          </w:p>
        </w:tc>
        <w:tc>
          <w:tcPr>
            <w:tcW w:type="dxa" w:w="4536"/>
            <w:shd w:fill="F4F7F9"/>
            <w:tcMar>
              <w:top w:w="80" w:type="dxa"/>
              <w:start w:w="90" w:type="dxa"/>
              <w:bottom w:w="80" w:type="dxa"/>
              <w:end w:w="90" w:type="dxa"/>
            </w:tcMar>
            <w:vAlign w:val="top"/>
          </w:tcPr>
          <w:p>
            <w:pPr>
              <w:spacing w:after="0"/>
            </w:pPr>
            <w:r>
              <w:rPr>
                <w:color w:val="1F2933"/>
                <w:sz w:val="16"/>
              </w:rPr>
              <w:t>Change the normal temporal drift shape</w:t>
            </w:r>
          </w:p>
        </w:tc>
        <w:tc>
          <w:tcPr>
            <w:tcW w:type="dxa" w:w="3312"/>
            <w:shd w:fill="F4F7F9"/>
            <w:tcMar>
              <w:top w:w="80" w:type="dxa"/>
              <w:start w:w="90" w:type="dxa"/>
              <w:bottom w:w="80" w:type="dxa"/>
              <w:end w:w="90" w:type="dxa"/>
            </w:tcMar>
            <w:vAlign w:val="top"/>
          </w:tcPr>
          <w:p>
            <w:pPr>
              <w:spacing w:after="0"/>
            </w:pPr>
            <w:r>
              <w:rPr>
                <w:color w:val="1F2933"/>
                <w:sz w:val="16"/>
              </w:rPr>
              <w:t>Temporal anomaly and forecast calibration may degrade</w:t>
            </w:r>
          </w:p>
        </w:tc>
      </w:tr>
      <w:tr>
        <w:trPr>
          <w:cantSplit/>
        </w:trPr>
        <w:tc>
          <w:tcPr>
            <w:tcW w:type="dxa" w:w="1944"/>
            <w:shd w:fill="FFFFFF"/>
            <w:tcMar>
              <w:top w:w="80" w:type="dxa"/>
              <w:start w:w="90" w:type="dxa"/>
              <w:bottom w:w="80" w:type="dxa"/>
              <w:end w:w="90" w:type="dxa"/>
            </w:tcMar>
            <w:vAlign w:val="top"/>
          </w:tcPr>
          <w:p>
            <w:pPr>
              <w:spacing w:after="0"/>
            </w:pPr>
            <w:r>
              <w:rPr>
                <w:color w:val="1F2933"/>
                <w:sz w:val="16"/>
              </w:rPr>
              <w:t>Prevalence shift</w:t>
            </w:r>
          </w:p>
        </w:tc>
        <w:tc>
          <w:tcPr>
            <w:tcW w:type="dxa" w:w="4536"/>
            <w:shd w:fill="FFFFFF"/>
            <w:tcMar>
              <w:top w:w="80" w:type="dxa"/>
              <w:start w:w="90" w:type="dxa"/>
              <w:bottom w:w="80" w:type="dxa"/>
              <w:end w:w="90" w:type="dxa"/>
            </w:tcMar>
            <w:vAlign w:val="top"/>
          </w:tcPr>
          <w:p>
            <w:pPr>
              <w:spacing w:after="0"/>
            </w:pPr>
            <w:r>
              <w:rPr>
                <w:color w:val="1F2933"/>
                <w:sz w:val="16"/>
              </w:rPr>
              <w:t>Increase defect fraction in the incoming lot</w:t>
            </w:r>
          </w:p>
        </w:tc>
        <w:tc>
          <w:tcPr>
            <w:tcW w:type="dxa" w:w="3312"/>
            <w:shd w:fill="FFFFFF"/>
            <w:tcMar>
              <w:top w:w="80" w:type="dxa"/>
              <w:start w:w="90" w:type="dxa"/>
              <w:bottom w:w="80" w:type="dxa"/>
              <w:end w:w="90" w:type="dxa"/>
            </w:tcMar>
            <w:vAlign w:val="top"/>
          </w:tcPr>
          <w:p>
            <w:pPr>
              <w:spacing w:after="0"/>
            </w:pPr>
            <w:r>
              <w:rPr>
                <w:color w:val="1F2933"/>
                <w:sz w:val="16"/>
              </w:rPr>
              <w:t>Peer statistics become vulnerable to contamination</w:t>
            </w:r>
          </w:p>
        </w:tc>
      </w:tr>
      <w:tr>
        <w:trPr>
          <w:cantSplit/>
        </w:trPr>
        <w:tc>
          <w:tcPr>
            <w:tcW w:type="dxa" w:w="1944"/>
            <w:shd w:fill="F4F7F9"/>
            <w:tcMar>
              <w:top w:w="80" w:type="dxa"/>
              <w:start w:w="90" w:type="dxa"/>
              <w:bottom w:w="80" w:type="dxa"/>
              <w:end w:w="90" w:type="dxa"/>
            </w:tcMar>
            <w:vAlign w:val="top"/>
          </w:tcPr>
          <w:p>
            <w:pPr>
              <w:spacing w:after="0"/>
            </w:pPr>
            <w:r>
              <w:rPr>
                <w:color w:val="1F2933"/>
                <w:sz w:val="16"/>
              </w:rPr>
              <w:t>Combined shift</w:t>
            </w:r>
          </w:p>
        </w:tc>
        <w:tc>
          <w:tcPr>
            <w:tcW w:type="dxa" w:w="4536"/>
            <w:shd w:fill="F4F7F9"/>
            <w:tcMar>
              <w:top w:w="80" w:type="dxa"/>
              <w:start w:w="90" w:type="dxa"/>
              <w:bottom w:w="80" w:type="dxa"/>
              <w:end w:w="90" w:type="dxa"/>
            </w:tcMar>
            <w:vAlign w:val="top"/>
          </w:tcPr>
          <w:p>
            <w:pPr>
              <w:spacing w:after="0"/>
            </w:pPr>
            <w:r>
              <w:rPr>
                <w:color w:val="1F2933"/>
                <w:sz w:val="16"/>
              </w:rPr>
              <w:t>Apply multiple shifts simultaneously</w:t>
            </w:r>
          </w:p>
        </w:tc>
        <w:tc>
          <w:tcPr>
            <w:tcW w:type="dxa" w:w="3312"/>
            <w:shd w:fill="F4F7F9"/>
            <w:tcMar>
              <w:top w:w="80" w:type="dxa"/>
              <w:start w:w="90" w:type="dxa"/>
              <w:bottom w:w="80" w:type="dxa"/>
              <w:end w:w="90" w:type="dxa"/>
            </w:tcMar>
            <w:vAlign w:val="top"/>
          </w:tcPr>
          <w:p>
            <w:pPr>
              <w:spacing w:after="0"/>
            </w:pPr>
            <w:r>
              <w:rPr>
                <w:color w:val="1F2933"/>
                <w:sz w:val="16"/>
              </w:rPr>
              <w:t>Stress realistic failure of trust assumptions</w:t>
            </w:r>
          </w:p>
        </w:tc>
      </w:tr>
    </w:tbl>
    <w:p>
      <w:pPr>
        <w:spacing w:after="40"/>
      </w:pPr>
    </w:p>
    <w:p>
      <w:pPr>
        <w:pStyle w:val="Heading2"/>
        <w:keepNext/>
      </w:pPr>
      <w:r>
        <w:t>10.2 Shift measurement</w:t>
      </w:r>
    </w:p>
    <w:p>
      <w:pPr>
        <w:pStyle w:val="ListBullet"/>
        <w:spacing w:after="40"/>
        <w:ind w:left="317"/>
      </w:pPr>
      <w:r>
        <w:t>Use one primary distribution-distance measure and one supporting monitor to avoid a detector zoo.</w:t>
      </w:r>
    </w:p>
    <w:p>
      <w:pPr>
        <w:pStyle w:val="ListBullet"/>
        <w:spacing w:after="40"/>
        <w:ind w:left="317"/>
      </w:pPr>
      <w:r>
        <w:t>Report shift magnitude alongside model performance; a “shifted” label without a quantified intervention is insufficient.</w:t>
      </w:r>
    </w:p>
    <w:p>
      <w:pPr>
        <w:pStyle w:val="ListBullet"/>
        <w:spacing w:after="40"/>
        <w:ind w:left="317"/>
      </w:pPr>
      <w:r>
        <w:t>Track both covariate shift and behaviour / trajectory shift where the benchmark permits it.</w:t>
      </w:r>
    </w:p>
    <w:p>
      <w:pPr>
        <w:pStyle w:val="ListBullet"/>
        <w:spacing w:after="40"/>
        <w:ind w:left="317"/>
      </w:pPr>
      <w:r>
        <w:t>Treat severe shift as a reason to increase review / uncertainty rather than silently adapting until the model looks better.</w:t>
      </w:r>
    </w:p>
    <w:p>
      <w:pPr>
        <w:pStyle w:val="Heading2"/>
        <w:keepNext/>
      </w:pPr>
      <w:r>
        <w:t>10.3 Candidate lot-adaptive strategy</w:t>
      </w:r>
    </w:p>
    <w:p>
      <w:pPr>
        <w:spacing w:after="100" w:line="254" w:lineRule="auto"/>
      </w:pPr>
      <w:r>
        <w:t>A candidate extension is Robust Lot-Adaptive Calibration: keep the learned representation and predictor fixed while estimating a contamination-resistant lot baseline from early observations, then recalibrate peer-relative scores and uncertainty. This is a hypothesis to test against no adaptation and simpler recalibration baselines, not a pre-declared novelty claim.</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TRAINING LOTS</w:t>
              <w:br/>
              <w:t xml:space="preserve">  -&gt; representation + anomaly + forecast models</w:t>
              <w:br/>
              <w:br/>
              <w:t>NEW LOT</w:t>
              <w:br/>
              <w:t xml:space="preserve">  -&gt; estimate robust lot context</w:t>
              <w:br/>
              <w:t xml:space="preserve">  -&gt; compute shift score</w:t>
              <w:br/>
              <w:t xml:space="preserve">  -&gt; obtain conformal / prediction-set outputs</w:t>
              <w:br/>
              <w:br/>
              <w:t>IF shift is mild:</w:t>
              <w:br/>
              <w:t xml:space="preserve">  -&gt; normal calibrated scoring</w:t>
              <w:br/>
              <w:t>IF shift is moderate:</w:t>
              <w:br/>
              <w:t xml:space="preserve">  -&gt; recalibration / wider uncertainty / more REVIEW</w:t>
              <w:br/>
              <w:t>IF shift is severe:</w:t>
              <w:br/>
              <w:t xml:space="preserve">  -&gt; REVIEW gate; do not blindly adapt</w:t>
            </w:r>
          </w:p>
        </w:tc>
      </w:tr>
    </w:tbl>
    <w:p>
      <w:pPr>
        <w:pStyle w:val="Heading1"/>
        <w:keepNext/>
      </w:pPr>
      <w:r>
        <w:t>11. Conformal Uncertainty and Risk-Sensitive Decisions</w:t>
      </w:r>
    </w:p>
    <w:p>
      <w:pPr>
        <w:spacing w:after="100" w:line="254" w:lineRule="auto"/>
      </w:pPr>
      <w:r>
        <w:t>TRUST uses task-specific conformal methods. The goal is not to attach a generic confidence number; it is to create auditable predictive uncertainty and then study how that uncertainty behaves when deployment lots differ from the calibration regime.</w:t>
      </w:r>
    </w:p>
    <w:p>
      <w:pPr>
        <w:pStyle w:val="Heading2"/>
        <w:keepNext/>
      </w:pPr>
      <w:r>
        <w:t>11.1 Locked uncertainty mechanisms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83A5A"/>
            <w:tcMar>
              <w:top w:w="80" w:type="dxa"/>
              <w:start w:w="90" w:type="dxa"/>
              <w:bottom w:w="80" w:type="dxa"/>
              <w:end w:w="90" w:type="dxa"/>
            </w:tcMar>
            <w:vAlign w:val="center"/>
          </w:tcPr>
          <w:p>
            <w:pPr>
              <w:jc w:val="left"/>
            </w:pPr>
            <w:r>
              <w:rPr>
                <w:b/>
                <w:color w:val="FFFFFF"/>
                <w:sz w:val="16"/>
              </w:rPr>
              <w:t>Task</w:t>
            </w:r>
          </w:p>
        </w:tc>
        <w:tc>
          <w:tcPr>
            <w:tcW w:type="dxa" w:w="3456"/>
            <w:shd w:fill="183A5A"/>
            <w:tcMar>
              <w:top w:w="80" w:type="dxa"/>
              <w:start w:w="90" w:type="dxa"/>
              <w:bottom w:w="80" w:type="dxa"/>
              <w:end w:w="90" w:type="dxa"/>
            </w:tcMar>
            <w:vAlign w:val="center"/>
          </w:tcPr>
          <w:p>
            <w:pPr>
              <w:jc w:val="left"/>
            </w:pPr>
            <w:r>
              <w:rPr>
                <w:b/>
                <w:color w:val="FFFFFF"/>
                <w:sz w:val="16"/>
              </w:rPr>
              <w:t>Locked method</w:t>
            </w:r>
          </w:p>
        </w:tc>
        <w:tc>
          <w:tcPr>
            <w:tcW w:type="dxa" w:w="3456"/>
            <w:shd w:fill="183A5A"/>
            <w:tcMar>
              <w:top w:w="80" w:type="dxa"/>
              <w:start w:w="90" w:type="dxa"/>
              <w:bottom w:w="80" w:type="dxa"/>
              <w:end w:w="90" w:type="dxa"/>
            </w:tcMar>
            <w:vAlign w:val="center"/>
          </w:tcPr>
          <w:p>
            <w:pPr>
              <w:jc w:val="left"/>
            </w:pPr>
            <w:r>
              <w:rPr>
                <w:b/>
                <w:color w:val="FFFFFF"/>
                <w:sz w:val="16"/>
              </w:rPr>
              <w:t>Output</w:t>
            </w:r>
          </w:p>
        </w:tc>
      </w:tr>
      <w:tr>
        <w:trPr>
          <w:cantSplit/>
        </w:trPr>
        <w:tc>
          <w:tcPr>
            <w:tcW w:type="dxa" w:w="2880"/>
            <w:shd w:fill="FFFFFF"/>
            <w:tcMar>
              <w:top w:w="80" w:type="dxa"/>
              <w:start w:w="90" w:type="dxa"/>
              <w:bottom w:w="80" w:type="dxa"/>
              <w:end w:w="90" w:type="dxa"/>
            </w:tcMar>
            <w:vAlign w:val="top"/>
          </w:tcPr>
          <w:p>
            <w:pPr>
              <w:spacing w:after="0"/>
            </w:pPr>
            <w:r>
              <w:rPr>
                <w:color w:val="1F2933"/>
                <w:sz w:val="16"/>
              </w:rPr>
              <w:t>168h continuous drift prediction</w:t>
            </w:r>
          </w:p>
        </w:tc>
        <w:tc>
          <w:tcPr>
            <w:tcW w:type="dxa" w:w="3456"/>
            <w:shd w:fill="FFFFFF"/>
            <w:tcMar>
              <w:top w:w="80" w:type="dxa"/>
              <w:start w:w="90" w:type="dxa"/>
              <w:bottom w:w="80" w:type="dxa"/>
              <w:end w:w="90" w:type="dxa"/>
            </w:tcMar>
            <w:vAlign w:val="top"/>
          </w:tcPr>
          <w:p>
            <w:pPr>
              <w:spacing w:after="0"/>
            </w:pPr>
            <w:r>
              <w:rPr>
                <w:color w:val="1F2933"/>
                <w:sz w:val="16"/>
              </w:rPr>
              <w:t>Conformalized Quantile Regression (CQR)</w:t>
            </w:r>
          </w:p>
        </w:tc>
        <w:tc>
          <w:tcPr>
            <w:tcW w:type="dxa" w:w="3456"/>
            <w:shd w:fill="FFFFFF"/>
            <w:tcMar>
              <w:top w:w="80" w:type="dxa"/>
              <w:start w:w="90" w:type="dxa"/>
              <w:bottom w:w="80" w:type="dxa"/>
              <w:end w:w="90" w:type="dxa"/>
            </w:tcMar>
            <w:vAlign w:val="top"/>
          </w:tcPr>
          <w:p>
            <w:pPr>
              <w:spacing w:after="0"/>
            </w:pPr>
            <w:r>
              <w:rPr>
                <w:color w:val="1F2933"/>
                <w:sz w:val="16"/>
              </w:rPr>
              <w:t>Lower bound, point prediction, upper bound</w:t>
            </w:r>
          </w:p>
        </w:tc>
      </w:tr>
      <w:tr>
        <w:trPr>
          <w:cantSplit/>
        </w:trPr>
        <w:tc>
          <w:tcPr>
            <w:tcW w:type="dxa" w:w="2880"/>
            <w:shd w:fill="F4F7F9"/>
            <w:tcMar>
              <w:top w:w="80" w:type="dxa"/>
              <w:start w:w="90" w:type="dxa"/>
              <w:bottom w:w="80" w:type="dxa"/>
              <w:end w:w="90" w:type="dxa"/>
            </w:tcMar>
            <w:vAlign w:val="top"/>
          </w:tcPr>
          <w:p>
            <w:pPr>
              <w:spacing w:after="0"/>
            </w:pPr>
            <w:r>
              <w:rPr>
                <w:color w:val="1F2933"/>
                <w:sz w:val="16"/>
              </w:rPr>
              <w:t>Discrete anomaly classification</w:t>
            </w:r>
          </w:p>
        </w:tc>
        <w:tc>
          <w:tcPr>
            <w:tcW w:type="dxa" w:w="3456"/>
            <w:shd w:fill="F4F7F9"/>
            <w:tcMar>
              <w:top w:w="80" w:type="dxa"/>
              <w:start w:w="90" w:type="dxa"/>
              <w:bottom w:w="80" w:type="dxa"/>
              <w:end w:w="90" w:type="dxa"/>
            </w:tcMar>
            <w:vAlign w:val="top"/>
          </w:tcPr>
          <w:p>
            <w:pPr>
              <w:spacing w:after="0"/>
            </w:pPr>
            <w:r>
              <w:rPr>
                <w:color w:val="1F2933"/>
                <w:sz w:val="16"/>
              </w:rPr>
              <w:t>Inductive / Split Conformal Prediction</w:t>
            </w:r>
          </w:p>
        </w:tc>
        <w:tc>
          <w:tcPr>
            <w:tcW w:type="dxa" w:w="3456"/>
            <w:shd w:fill="F4F7F9"/>
            <w:tcMar>
              <w:top w:w="80" w:type="dxa"/>
              <w:start w:w="90" w:type="dxa"/>
              <w:bottom w:w="80" w:type="dxa"/>
              <w:end w:w="90" w:type="dxa"/>
            </w:tcMar>
            <w:vAlign w:val="top"/>
          </w:tcPr>
          <w:p>
            <w:pPr>
              <w:spacing w:after="0"/>
            </w:pPr>
            <w:r>
              <w:rPr>
                <w:color w:val="1F2933"/>
                <w:sz w:val="16"/>
              </w:rPr>
              <w:t>Prediction set: {NORMAL}, {DEFECT}, or {NORMAL, DEFECT}</w:t>
            </w:r>
          </w:p>
        </w:tc>
      </w:tr>
    </w:tbl>
    <w:p>
      <w:pPr>
        <w:spacing w:after="40"/>
      </w:pPr>
    </w:p>
    <w:p>
      <w:pPr>
        <w:spacing w:after="100" w:line="254" w:lineRule="auto"/>
      </w:pPr>
      <w:r>
        <w:t>CQR combines quantile regression with conformal calibration to produce adaptive prediction intervals, especially useful when uncertainty changes across the input space. The original method provides finite-sample coverage under the relevant conformal assumptions without requiring a fully specified outcome distribution. [R10]</w:t>
      </w:r>
    </w:p>
    <w:p>
      <w:pPr>
        <w:spacing w:after="100" w:line="254" w:lineRule="auto"/>
      </w:pPr>
      <w:r>
        <w:t>For classification, Inductive/Split Conformal produces a prediction set rather than only a single class. The ambiguous set {NORMAL, DEFECT} is mapped to REVIEW. A singleton NORMAL prediction may support PASS only after the independent risk logic confirms that there is no overriding specification violation or severe shift; a singleton DEFECT prediction supports HIGH RISK subject to the same deterministic decision layer.</w:t>
      </w:r>
    </w:p>
    <w:p>
      <w:pPr>
        <w:pStyle w:val="Heading2"/>
        <w:keepNext/>
      </w:pPr>
      <w:r>
        <w:t>11.2 Calibration protocol</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DATA SPLIT</w:t>
              <w:br/>
              <w:t xml:space="preserve">  TRAINING LOTS  -&gt; fit model / quantile regressors</w:t>
              <w:br/>
              <w:t xml:space="preserve">  CALIBRATION LOTS -&gt; fit conformal scores only</w:t>
              <w:br/>
              <w:t xml:space="preserve">  TEST LOTS -&gt; never used to set thresholds</w:t>
              <w:br/>
              <w:br/>
              <w:t>Primary regime:</w:t>
              <w:br/>
              <w:t xml:space="preserve">  calibration and test drawn from the same declared distribution family</w:t>
              <w:br/>
              <w:br/>
              <w:t>Shift regimes:</w:t>
              <w:br/>
              <w:t xml:space="preserve">  calibration fixed</w:t>
              <w:br/>
              <w:t xml:space="preserve">  test lot distribution moved by controlled BurnIn-Bench interventions</w:t>
            </w:r>
          </w:p>
        </w:tc>
      </w:tr>
    </w:tbl>
    <w:p>
      <w:pPr>
        <w:pStyle w:val="ListBullet"/>
        <w:spacing w:after="40"/>
        <w:ind w:left="317"/>
      </w:pPr>
      <w:r>
        <w:t>Calibration examples must be independent of training examples used to fit the base predictor, following the split-conformal workflow.</w:t>
      </w:r>
    </w:p>
    <w:p>
      <w:pPr>
        <w:pStyle w:val="ListBullet"/>
        <w:spacing w:after="40"/>
        <w:ind w:left="317"/>
      </w:pPr>
      <w:r>
        <w:t>For temporal trajectories, the calibration unit should be defined at the component / trajectory or lot-group level to prevent leakage from treating correlated stages as independent records.</w:t>
      </w:r>
    </w:p>
    <w:p>
      <w:pPr>
        <w:pStyle w:val="ListBullet"/>
        <w:spacing w:after="40"/>
        <w:ind w:left="317"/>
      </w:pPr>
      <w:r>
        <w:t>Run a lot-aware calibration sensitivity study. Standard split conformal is the baseline; group/lot-aware variants may be evaluated as robustness experiments.</w:t>
      </w:r>
    </w:p>
    <w:p>
      <w:pPr>
        <w:pStyle w:val="Heading2"/>
        <w:keepNext/>
      </w:pPr>
      <w:r>
        <w:t>11.3 The core cross-lot calibration-degradation experiment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83A5A"/>
            <w:tcMar>
              <w:top w:w="80" w:type="dxa"/>
              <w:start w:w="90" w:type="dxa"/>
              <w:bottom w:w="80" w:type="dxa"/>
              <w:end w:w="90" w:type="dxa"/>
            </w:tcMar>
            <w:vAlign w:val="center"/>
          </w:tcPr>
          <w:p>
            <w:pPr>
              <w:jc w:val="left"/>
            </w:pPr>
            <w:r>
              <w:rPr>
                <w:b/>
                <w:color w:val="FFFFFF"/>
                <w:sz w:val="16"/>
              </w:rPr>
              <w:t>Step</w:t>
            </w:r>
          </w:p>
        </w:tc>
        <w:tc>
          <w:tcPr>
            <w:tcW w:type="dxa" w:w="4320"/>
            <w:shd w:fill="183A5A"/>
            <w:tcMar>
              <w:top w:w="80" w:type="dxa"/>
              <w:start w:w="90" w:type="dxa"/>
              <w:bottom w:w="80" w:type="dxa"/>
              <w:end w:w="90" w:type="dxa"/>
            </w:tcMar>
            <w:vAlign w:val="center"/>
          </w:tcPr>
          <w:p>
            <w:pPr>
              <w:jc w:val="left"/>
            </w:pPr>
            <w:r>
              <w:rPr>
                <w:b/>
                <w:color w:val="FFFFFF"/>
                <w:sz w:val="16"/>
              </w:rPr>
              <w:t>Condition</w:t>
            </w:r>
          </w:p>
        </w:tc>
        <w:tc>
          <w:tcPr>
            <w:tcW w:type="dxa" w:w="4320"/>
            <w:shd w:fill="183A5A"/>
            <w:tcMar>
              <w:top w:w="80" w:type="dxa"/>
              <w:start w:w="90" w:type="dxa"/>
              <w:bottom w:w="80" w:type="dxa"/>
              <w:end w:w="90" w:type="dxa"/>
            </w:tcMar>
            <w:vAlign w:val="center"/>
          </w:tcPr>
          <w:p>
            <w:pPr>
              <w:jc w:val="left"/>
            </w:pPr>
            <w:r>
              <w:rPr>
                <w:b/>
                <w:color w:val="FFFFFF"/>
                <w:sz w:val="16"/>
              </w:rPr>
              <w:t>Primary measurements</w:t>
            </w:r>
          </w:p>
        </w:tc>
      </w:tr>
      <w:tr>
        <w:trPr>
          <w:cantSplit/>
        </w:trPr>
        <w:tc>
          <w:tcPr>
            <w:tcW w:type="dxa" w:w="1080"/>
            <w:shd w:fill="FFFFFF"/>
            <w:tcMar>
              <w:top w:w="80" w:type="dxa"/>
              <w:start w:w="90" w:type="dxa"/>
              <w:bottom w:w="80" w:type="dxa"/>
              <w:end w:w="90" w:type="dxa"/>
            </w:tcMar>
            <w:vAlign w:val="top"/>
          </w:tcPr>
          <w:p>
            <w:pPr>
              <w:spacing w:after="0"/>
            </w:pPr>
            <w:r>
              <w:rPr>
                <w:color w:val="1F2933"/>
                <w:sz w:val="16"/>
              </w:rPr>
              <w:t>C0</w:t>
            </w:r>
          </w:p>
        </w:tc>
        <w:tc>
          <w:tcPr>
            <w:tcW w:type="dxa" w:w="4320"/>
            <w:shd w:fill="FFFFFF"/>
            <w:tcMar>
              <w:top w:w="80" w:type="dxa"/>
              <w:start w:w="90" w:type="dxa"/>
              <w:bottom w:w="80" w:type="dxa"/>
              <w:end w:w="90" w:type="dxa"/>
            </w:tcMar>
            <w:vAlign w:val="top"/>
          </w:tcPr>
          <w:p>
            <w:pPr>
              <w:spacing w:after="0"/>
            </w:pPr>
            <w:r>
              <w:rPr>
                <w:color w:val="1F2933"/>
                <w:sz w:val="16"/>
              </w:rPr>
              <w:t>In-distribution test lot</w:t>
            </w:r>
          </w:p>
        </w:tc>
        <w:tc>
          <w:tcPr>
            <w:tcW w:type="dxa" w:w="4320"/>
            <w:shd w:fill="FFFFFF"/>
            <w:tcMar>
              <w:top w:w="80" w:type="dxa"/>
              <w:start w:w="90" w:type="dxa"/>
              <w:bottom w:w="80" w:type="dxa"/>
              <w:end w:w="90" w:type="dxa"/>
            </w:tcMar>
            <w:vAlign w:val="top"/>
          </w:tcPr>
          <w:p>
            <w:pPr>
              <w:spacing w:after="0"/>
            </w:pPr>
            <w:r>
              <w:rPr>
                <w:color w:val="1F2933"/>
                <w:sz w:val="16"/>
              </w:rPr>
              <w:t>90% interval coverage, mean interval width, class prediction-set size, FNR</w:t>
            </w:r>
          </w:p>
        </w:tc>
      </w:tr>
      <w:tr>
        <w:trPr>
          <w:cantSplit/>
        </w:trPr>
        <w:tc>
          <w:tcPr>
            <w:tcW w:type="dxa" w:w="1080"/>
            <w:shd w:fill="F4F7F9"/>
            <w:tcMar>
              <w:top w:w="80" w:type="dxa"/>
              <w:start w:w="90" w:type="dxa"/>
              <w:bottom w:w="80" w:type="dxa"/>
              <w:end w:w="90" w:type="dxa"/>
            </w:tcMar>
            <w:vAlign w:val="top"/>
          </w:tcPr>
          <w:p>
            <w:pPr>
              <w:spacing w:after="0"/>
            </w:pPr>
            <w:r>
              <w:rPr>
                <w:color w:val="1F2933"/>
                <w:sz w:val="16"/>
              </w:rPr>
              <w:t>C1</w:t>
            </w:r>
          </w:p>
        </w:tc>
        <w:tc>
          <w:tcPr>
            <w:tcW w:type="dxa" w:w="4320"/>
            <w:shd w:fill="F4F7F9"/>
            <w:tcMar>
              <w:top w:w="80" w:type="dxa"/>
              <w:start w:w="90" w:type="dxa"/>
              <w:bottom w:w="80" w:type="dxa"/>
              <w:end w:w="90" w:type="dxa"/>
            </w:tcMar>
            <w:vAlign w:val="top"/>
          </w:tcPr>
          <w:p>
            <w:pPr>
              <w:spacing w:after="0"/>
            </w:pPr>
            <w:r>
              <w:rPr>
                <w:color w:val="1F2933"/>
                <w:sz w:val="16"/>
              </w:rPr>
              <w:t>Small baseline shift</w:t>
            </w:r>
          </w:p>
        </w:tc>
        <w:tc>
          <w:tcPr>
            <w:tcW w:type="dxa" w:w="4320"/>
            <w:shd w:fill="F4F7F9"/>
            <w:tcMar>
              <w:top w:w="80" w:type="dxa"/>
              <w:start w:w="90" w:type="dxa"/>
              <w:bottom w:w="80" w:type="dxa"/>
              <w:end w:w="90" w:type="dxa"/>
            </w:tcMar>
            <w:vAlign w:val="top"/>
          </w:tcPr>
          <w:p>
            <w:pPr>
              <w:spacing w:after="0"/>
            </w:pPr>
            <w:r>
              <w:rPr>
                <w:color w:val="1F2933"/>
                <w:sz w:val="16"/>
              </w:rPr>
              <w:t>Coverage delta, width delta, FNR delta</w:t>
            </w:r>
          </w:p>
        </w:tc>
      </w:tr>
      <w:tr>
        <w:trPr>
          <w:cantSplit/>
        </w:trPr>
        <w:tc>
          <w:tcPr>
            <w:tcW w:type="dxa" w:w="1080"/>
            <w:shd w:fill="FFFFFF"/>
            <w:tcMar>
              <w:top w:w="80" w:type="dxa"/>
              <w:start w:w="90" w:type="dxa"/>
              <w:bottom w:w="80" w:type="dxa"/>
              <w:end w:w="90" w:type="dxa"/>
            </w:tcMar>
            <w:vAlign w:val="top"/>
          </w:tcPr>
          <w:p>
            <w:pPr>
              <w:spacing w:after="0"/>
            </w:pPr>
            <w:r>
              <w:rPr>
                <w:color w:val="1F2933"/>
                <w:sz w:val="16"/>
              </w:rPr>
              <w:t>C2</w:t>
            </w:r>
          </w:p>
        </w:tc>
        <w:tc>
          <w:tcPr>
            <w:tcW w:type="dxa" w:w="4320"/>
            <w:shd w:fill="FFFFFF"/>
            <w:tcMar>
              <w:top w:w="80" w:type="dxa"/>
              <w:start w:w="90" w:type="dxa"/>
              <w:bottom w:w="80" w:type="dxa"/>
              <w:end w:w="90" w:type="dxa"/>
            </w:tcMar>
            <w:vAlign w:val="top"/>
          </w:tcPr>
          <w:p>
            <w:pPr>
              <w:spacing w:after="0"/>
            </w:pPr>
            <w:r>
              <w:rPr>
                <w:color w:val="1F2933"/>
                <w:sz w:val="16"/>
              </w:rPr>
              <w:t>Moderate baseline + variance shift</w:t>
            </w:r>
          </w:p>
        </w:tc>
        <w:tc>
          <w:tcPr>
            <w:tcW w:type="dxa" w:w="4320"/>
            <w:shd w:fill="FFFFFF"/>
            <w:tcMar>
              <w:top w:w="80" w:type="dxa"/>
              <w:start w:w="90" w:type="dxa"/>
              <w:bottom w:w="80" w:type="dxa"/>
              <w:end w:w="90" w:type="dxa"/>
            </w:tcMar>
            <w:vAlign w:val="top"/>
          </w:tcPr>
          <w:p>
            <w:pPr>
              <w:spacing w:after="0"/>
            </w:pPr>
            <w:r>
              <w:rPr>
                <w:color w:val="1F2933"/>
                <w:sz w:val="16"/>
              </w:rPr>
              <w:t>Coverage / width / review-rate changes</w:t>
            </w:r>
          </w:p>
        </w:tc>
      </w:tr>
      <w:tr>
        <w:trPr>
          <w:cantSplit/>
        </w:trPr>
        <w:tc>
          <w:tcPr>
            <w:tcW w:type="dxa" w:w="1080"/>
            <w:shd w:fill="F4F7F9"/>
            <w:tcMar>
              <w:top w:w="80" w:type="dxa"/>
              <w:start w:w="90" w:type="dxa"/>
              <w:bottom w:w="80" w:type="dxa"/>
              <w:end w:w="90" w:type="dxa"/>
            </w:tcMar>
            <w:vAlign w:val="top"/>
          </w:tcPr>
          <w:p>
            <w:pPr>
              <w:spacing w:after="0"/>
            </w:pPr>
            <w:r>
              <w:rPr>
                <w:color w:val="1F2933"/>
                <w:sz w:val="16"/>
              </w:rPr>
              <w:t>C3</w:t>
            </w:r>
          </w:p>
        </w:tc>
        <w:tc>
          <w:tcPr>
            <w:tcW w:type="dxa" w:w="4320"/>
            <w:shd w:fill="F4F7F9"/>
            <w:tcMar>
              <w:top w:w="80" w:type="dxa"/>
              <w:start w:w="90" w:type="dxa"/>
              <w:bottom w:w="80" w:type="dxa"/>
              <w:end w:w="90" w:type="dxa"/>
            </w:tcMar>
            <w:vAlign w:val="top"/>
          </w:tcPr>
          <w:p>
            <w:pPr>
              <w:spacing w:after="0"/>
            </w:pPr>
            <w:r>
              <w:rPr>
                <w:color w:val="1F2933"/>
                <w:sz w:val="16"/>
              </w:rPr>
              <w:t>Noise or trajectory shift</w:t>
            </w:r>
          </w:p>
        </w:tc>
        <w:tc>
          <w:tcPr>
            <w:tcW w:type="dxa" w:w="4320"/>
            <w:shd w:fill="F4F7F9"/>
            <w:tcMar>
              <w:top w:w="80" w:type="dxa"/>
              <w:start w:w="90" w:type="dxa"/>
              <w:bottom w:w="80" w:type="dxa"/>
              <w:end w:w="90" w:type="dxa"/>
            </w:tcMar>
            <w:vAlign w:val="top"/>
          </w:tcPr>
          <w:p>
            <w:pPr>
              <w:spacing w:after="0"/>
            </w:pPr>
            <w:r>
              <w:rPr>
                <w:color w:val="1F2933"/>
                <w:sz w:val="16"/>
              </w:rPr>
              <w:t>Coverage collapse or recovery, ambiguity rate</w:t>
            </w:r>
          </w:p>
        </w:tc>
      </w:tr>
      <w:tr>
        <w:trPr>
          <w:cantSplit/>
        </w:trPr>
        <w:tc>
          <w:tcPr>
            <w:tcW w:type="dxa" w:w="1080"/>
            <w:shd w:fill="FFFFFF"/>
            <w:tcMar>
              <w:top w:w="80" w:type="dxa"/>
              <w:start w:w="90" w:type="dxa"/>
              <w:bottom w:w="80" w:type="dxa"/>
              <w:end w:w="90" w:type="dxa"/>
            </w:tcMar>
            <w:vAlign w:val="top"/>
          </w:tcPr>
          <w:p>
            <w:pPr>
              <w:spacing w:after="0"/>
            </w:pPr>
            <w:r>
              <w:rPr>
                <w:color w:val="1F2933"/>
                <w:sz w:val="16"/>
              </w:rPr>
              <w:t>C4</w:t>
            </w:r>
          </w:p>
        </w:tc>
        <w:tc>
          <w:tcPr>
            <w:tcW w:type="dxa" w:w="4320"/>
            <w:shd w:fill="FFFFFF"/>
            <w:tcMar>
              <w:top w:w="80" w:type="dxa"/>
              <w:start w:w="90" w:type="dxa"/>
              <w:bottom w:w="80" w:type="dxa"/>
              <w:end w:w="90" w:type="dxa"/>
            </w:tcMar>
            <w:vAlign w:val="top"/>
          </w:tcPr>
          <w:p>
            <w:pPr>
              <w:spacing w:after="0"/>
            </w:pPr>
            <w:r>
              <w:rPr>
                <w:color w:val="1F2933"/>
                <w:sz w:val="16"/>
              </w:rPr>
              <w:t>Combined severe shift</w:t>
            </w:r>
          </w:p>
        </w:tc>
        <w:tc>
          <w:tcPr>
            <w:tcW w:type="dxa" w:w="4320"/>
            <w:shd w:fill="FFFFFF"/>
            <w:tcMar>
              <w:top w:w="80" w:type="dxa"/>
              <w:start w:w="90" w:type="dxa"/>
              <w:bottom w:w="80" w:type="dxa"/>
              <w:end w:w="90" w:type="dxa"/>
            </w:tcMar>
            <w:vAlign w:val="top"/>
          </w:tcPr>
          <w:p>
            <w:pPr>
              <w:spacing w:after="0"/>
            </w:pPr>
            <w:r>
              <w:rPr>
                <w:color w:val="1F2933"/>
                <w:sz w:val="16"/>
              </w:rPr>
              <w:t>Risk-coverage, FNR, proportion routed to REVIEW</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2E7D77"/>
              </w:rPr>
              <w:t>Scientific interpretation</w:t>
            </w:r>
          </w:p>
          <w:p>
            <w:pPr>
              <w:spacing w:after="0"/>
            </w:pPr>
            <w:r>
              <w:t>Do not describe a loss of coverage under shift as a bug or hide it. That degradation is the experiment. The paper should characterize when calibration remains useful, how quickly it fails, and whether shift-aware review or recalibration reduces unsafe overconfidence.</w:t>
            </w:r>
          </w:p>
        </w:tc>
      </w:tr>
    </w:tbl>
    <w:p>
      <w:pPr>
        <w:pStyle w:val="Heading2"/>
        <w:keepNext/>
      </w:pPr>
      <w:r>
        <w:t>11.4 Important guarantee boundary</w:t>
      </w:r>
    </w:p>
    <w:p>
      <w:pPr>
        <w:spacing w:after="100" w:line="254" w:lineRule="auto"/>
      </w:pPr>
      <w:r>
        <w:t>The document must never say that conformal prediction guarantees valid uncertainty under arbitrary distribution shift. Standard conformal guarantees rely on assumptions such as exchangeability and typically provide finite-sample marginal coverage. For time-series data, dependence can complicate those assumptions. Recent time-series conformal research explicitly studies non-exchangeable settings, reinforcing the need to separate theoretical guarantees from the project’s empirical shift experiments. [R13][R14]</w:t>
      </w:r>
    </w:p>
    <w:p>
      <w:pPr>
        <w:pStyle w:val="Heading2"/>
        <w:keepNext/>
      </w:pPr>
      <w:r>
        <w:t>11.5 Risk-sensitive selective prediction</w:t>
      </w:r>
    </w:p>
    <w:p>
      <w:pPr>
        <w:spacing w:after="100" w:line="254" w:lineRule="auto"/>
      </w:pPr>
      <w:r>
        <w:t>The decision layer should expose a risk-coverage curve: as the system accepts fewer cases automatically and sends ambiguous cases to REVIEW, how does the false-negative rate change? The operating point is selected using validation data and an explicitly stated cost or constraint; the benchmark must show the full trade-off rather than only one chosen point.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83A5A"/>
            <w:tcMar>
              <w:top w:w="80" w:type="dxa"/>
              <w:start w:w="90" w:type="dxa"/>
              <w:bottom w:w="80" w:type="dxa"/>
              <w:end w:w="90" w:type="dxa"/>
            </w:tcMar>
            <w:vAlign w:val="center"/>
          </w:tcPr>
          <w:p>
            <w:pPr>
              <w:jc w:val="left"/>
            </w:pPr>
            <w:r>
              <w:rPr>
                <w:b/>
                <w:color w:val="FFFFFF"/>
                <w:sz w:val="16"/>
              </w:rPr>
              <w:t>Metric family</w:t>
            </w:r>
          </w:p>
        </w:tc>
        <w:tc>
          <w:tcPr>
            <w:tcW w:type="dxa" w:w="6912"/>
            <w:shd w:fill="183A5A"/>
            <w:tcMar>
              <w:top w:w="80" w:type="dxa"/>
              <w:start w:w="90" w:type="dxa"/>
              <w:bottom w:w="80" w:type="dxa"/>
              <w:end w:w="90" w:type="dxa"/>
            </w:tcMar>
            <w:vAlign w:val="center"/>
          </w:tcPr>
          <w:p>
            <w:pPr>
              <w:jc w:val="left"/>
            </w:pPr>
            <w:r>
              <w:rPr>
                <w:b/>
                <w:color w:val="FFFFFF"/>
                <w:sz w:val="16"/>
              </w:rPr>
              <w:t>Primary metrics</w:t>
            </w:r>
          </w:p>
        </w:tc>
      </w:tr>
      <w:tr>
        <w:trPr>
          <w:cantSplit/>
        </w:trPr>
        <w:tc>
          <w:tcPr>
            <w:tcW w:type="dxa" w:w="2880"/>
            <w:shd w:fill="FFFFFF"/>
            <w:tcMar>
              <w:top w:w="80" w:type="dxa"/>
              <w:start w:w="90" w:type="dxa"/>
              <w:bottom w:w="80" w:type="dxa"/>
              <w:end w:w="90" w:type="dxa"/>
            </w:tcMar>
            <w:vAlign w:val="top"/>
          </w:tcPr>
          <w:p>
            <w:pPr>
              <w:spacing w:after="0"/>
            </w:pPr>
            <w:r>
              <w:rPr>
                <w:color w:val="1F2933"/>
                <w:sz w:val="16"/>
              </w:rPr>
              <w:t>Detection</w:t>
            </w:r>
          </w:p>
        </w:tc>
        <w:tc>
          <w:tcPr>
            <w:tcW w:type="dxa" w:w="6912"/>
            <w:shd w:fill="FFFFFF"/>
            <w:tcMar>
              <w:top w:w="80" w:type="dxa"/>
              <w:start w:w="90" w:type="dxa"/>
              <w:bottom w:w="80" w:type="dxa"/>
              <w:end w:w="90" w:type="dxa"/>
            </w:tcMar>
            <w:vAlign w:val="top"/>
          </w:tcPr>
          <w:p>
            <w:pPr>
              <w:spacing w:after="0"/>
            </w:pPr>
            <w:r>
              <w:rPr>
                <w:color w:val="1F2933"/>
                <w:sz w:val="16"/>
              </w:rPr>
              <w:t>FNR, FPR, precision, recall, PR-AUC, F1</w:t>
            </w:r>
          </w:p>
        </w:tc>
      </w:tr>
      <w:tr>
        <w:trPr>
          <w:cantSplit/>
        </w:trPr>
        <w:tc>
          <w:tcPr>
            <w:tcW w:type="dxa" w:w="2880"/>
            <w:shd w:fill="F4F7F9"/>
            <w:tcMar>
              <w:top w:w="80" w:type="dxa"/>
              <w:start w:w="90" w:type="dxa"/>
              <w:bottom w:w="80" w:type="dxa"/>
              <w:end w:w="90" w:type="dxa"/>
            </w:tcMar>
            <w:vAlign w:val="top"/>
          </w:tcPr>
          <w:p>
            <w:pPr>
              <w:spacing w:after="0"/>
            </w:pPr>
            <w:r>
              <w:rPr>
                <w:color w:val="1F2933"/>
                <w:sz w:val="16"/>
              </w:rPr>
              <w:t>Early warning</w:t>
            </w:r>
          </w:p>
        </w:tc>
        <w:tc>
          <w:tcPr>
            <w:tcW w:type="dxa" w:w="6912"/>
            <w:shd w:fill="F4F7F9"/>
            <w:tcMar>
              <w:top w:w="80" w:type="dxa"/>
              <w:start w:w="90" w:type="dxa"/>
              <w:bottom w:w="80" w:type="dxa"/>
              <w:end w:w="90" w:type="dxa"/>
            </w:tcMar>
            <w:vAlign w:val="top"/>
          </w:tcPr>
          <w:p>
            <w:pPr>
              <w:spacing w:after="0"/>
            </w:pPr>
            <w:r>
              <w:rPr>
                <w:color w:val="1F2933"/>
                <w:sz w:val="16"/>
              </w:rPr>
              <w:t>lead time, detected-at-24h fraction, detected-at-96h fraction</w:t>
            </w:r>
          </w:p>
        </w:tc>
      </w:tr>
      <w:tr>
        <w:trPr>
          <w:cantSplit/>
        </w:trPr>
        <w:tc>
          <w:tcPr>
            <w:tcW w:type="dxa" w:w="2880"/>
            <w:shd w:fill="FFFFFF"/>
            <w:tcMar>
              <w:top w:w="80" w:type="dxa"/>
              <w:start w:w="90" w:type="dxa"/>
              <w:bottom w:w="80" w:type="dxa"/>
              <w:end w:w="90" w:type="dxa"/>
            </w:tcMar>
            <w:vAlign w:val="top"/>
          </w:tcPr>
          <w:p>
            <w:pPr>
              <w:spacing w:after="0"/>
            </w:pPr>
            <w:r>
              <w:rPr>
                <w:color w:val="1F2933"/>
                <w:sz w:val="16"/>
              </w:rPr>
              <w:t>Forecast</w:t>
            </w:r>
          </w:p>
        </w:tc>
        <w:tc>
          <w:tcPr>
            <w:tcW w:type="dxa" w:w="6912"/>
            <w:shd w:fill="FFFFFF"/>
            <w:tcMar>
              <w:top w:w="80" w:type="dxa"/>
              <w:start w:w="90" w:type="dxa"/>
              <w:bottom w:w="80" w:type="dxa"/>
              <w:end w:w="90" w:type="dxa"/>
            </w:tcMar>
            <w:vAlign w:val="top"/>
          </w:tcPr>
          <w:p>
            <w:pPr>
              <w:spacing w:after="0"/>
            </w:pPr>
            <w:r>
              <w:rPr>
                <w:color w:val="1F2933"/>
                <w:sz w:val="16"/>
              </w:rPr>
              <w:t>MAE, RMSE, median absolute error</w:t>
            </w:r>
          </w:p>
        </w:tc>
      </w:tr>
      <w:tr>
        <w:trPr>
          <w:cantSplit/>
        </w:trPr>
        <w:tc>
          <w:tcPr>
            <w:tcW w:type="dxa" w:w="2880"/>
            <w:shd w:fill="F4F7F9"/>
            <w:tcMar>
              <w:top w:w="80" w:type="dxa"/>
              <w:start w:w="90" w:type="dxa"/>
              <w:bottom w:w="80" w:type="dxa"/>
              <w:end w:w="90" w:type="dxa"/>
            </w:tcMar>
            <w:vAlign w:val="top"/>
          </w:tcPr>
          <w:p>
            <w:pPr>
              <w:spacing w:after="0"/>
            </w:pPr>
            <w:r>
              <w:rPr>
                <w:color w:val="1F2933"/>
                <w:sz w:val="16"/>
              </w:rPr>
              <w:t>Conformal regression</w:t>
            </w:r>
          </w:p>
        </w:tc>
        <w:tc>
          <w:tcPr>
            <w:tcW w:type="dxa" w:w="6912"/>
            <w:shd w:fill="F4F7F9"/>
            <w:tcMar>
              <w:top w:w="80" w:type="dxa"/>
              <w:start w:w="90" w:type="dxa"/>
              <w:bottom w:w="80" w:type="dxa"/>
              <w:end w:w="90" w:type="dxa"/>
            </w:tcMar>
            <w:vAlign w:val="top"/>
          </w:tcPr>
          <w:p>
            <w:pPr>
              <w:spacing w:after="0"/>
            </w:pPr>
            <w:r>
              <w:rPr>
                <w:color w:val="1F2933"/>
                <w:sz w:val="16"/>
              </w:rPr>
              <w:t>coverage, coverage error, mean interval width</w:t>
            </w:r>
          </w:p>
        </w:tc>
      </w:tr>
      <w:tr>
        <w:trPr>
          <w:cantSplit/>
        </w:trPr>
        <w:tc>
          <w:tcPr>
            <w:tcW w:type="dxa" w:w="2880"/>
            <w:shd w:fill="FFFFFF"/>
            <w:tcMar>
              <w:top w:w="80" w:type="dxa"/>
              <w:start w:w="90" w:type="dxa"/>
              <w:bottom w:w="80" w:type="dxa"/>
              <w:end w:w="90" w:type="dxa"/>
            </w:tcMar>
            <w:vAlign w:val="top"/>
          </w:tcPr>
          <w:p>
            <w:pPr>
              <w:spacing w:after="0"/>
            </w:pPr>
            <w:r>
              <w:rPr>
                <w:color w:val="1F2933"/>
                <w:sz w:val="16"/>
              </w:rPr>
              <w:t>Conformal classification</w:t>
            </w:r>
          </w:p>
        </w:tc>
        <w:tc>
          <w:tcPr>
            <w:tcW w:type="dxa" w:w="6912"/>
            <w:shd w:fill="FFFFFF"/>
            <w:tcMar>
              <w:top w:w="80" w:type="dxa"/>
              <w:start w:w="90" w:type="dxa"/>
              <w:bottom w:w="80" w:type="dxa"/>
              <w:end w:w="90" w:type="dxa"/>
            </w:tcMar>
            <w:vAlign w:val="top"/>
          </w:tcPr>
          <w:p>
            <w:pPr>
              <w:spacing w:after="0"/>
            </w:pPr>
            <w:r>
              <w:rPr>
                <w:color w:val="1F2933"/>
                <w:sz w:val="16"/>
              </w:rPr>
              <w:t>prediction-set size, ambiguity rate, class-conditional / overall error where appropriate</w:t>
            </w:r>
          </w:p>
        </w:tc>
      </w:tr>
      <w:tr>
        <w:trPr>
          <w:cantSplit/>
        </w:trPr>
        <w:tc>
          <w:tcPr>
            <w:tcW w:type="dxa" w:w="2880"/>
            <w:shd w:fill="F4F7F9"/>
            <w:tcMar>
              <w:top w:w="80" w:type="dxa"/>
              <w:start w:w="90" w:type="dxa"/>
              <w:bottom w:w="80" w:type="dxa"/>
              <w:end w:w="90" w:type="dxa"/>
            </w:tcMar>
            <w:vAlign w:val="top"/>
          </w:tcPr>
          <w:p>
            <w:pPr>
              <w:spacing w:after="0"/>
            </w:pPr>
            <w:r>
              <w:rPr>
                <w:color w:val="1F2933"/>
                <w:sz w:val="16"/>
              </w:rPr>
              <w:t>Selective screening</w:t>
            </w:r>
          </w:p>
        </w:tc>
        <w:tc>
          <w:tcPr>
            <w:tcW w:type="dxa" w:w="6912"/>
            <w:shd w:fill="F4F7F9"/>
            <w:tcMar>
              <w:top w:w="80" w:type="dxa"/>
              <w:start w:w="90" w:type="dxa"/>
              <w:bottom w:w="80" w:type="dxa"/>
              <w:end w:w="90" w:type="dxa"/>
            </w:tcMar>
            <w:vAlign w:val="top"/>
          </w:tcPr>
          <w:p>
            <w:pPr>
              <w:spacing w:after="0"/>
            </w:pPr>
            <w:r>
              <w:rPr>
                <w:color w:val="1F2933"/>
                <w:sz w:val="16"/>
              </w:rPr>
              <w:t>risk-coverage curve, FNR at coverage levels, review rate</w:t>
            </w:r>
          </w:p>
        </w:tc>
      </w:tr>
      <w:tr>
        <w:trPr>
          <w:cantSplit/>
        </w:trPr>
        <w:tc>
          <w:tcPr>
            <w:tcW w:type="dxa" w:w="2880"/>
            <w:shd w:fill="FFFFFF"/>
            <w:tcMar>
              <w:top w:w="80" w:type="dxa"/>
              <w:start w:w="90" w:type="dxa"/>
              <w:bottom w:w="80" w:type="dxa"/>
              <w:end w:w="90" w:type="dxa"/>
            </w:tcMar>
            <w:vAlign w:val="top"/>
          </w:tcPr>
          <w:p>
            <w:pPr>
              <w:spacing w:after="0"/>
            </w:pPr>
            <w:r>
              <w:rPr>
                <w:color w:val="1F2933"/>
                <w:sz w:val="16"/>
              </w:rPr>
              <w:t>Operational</w:t>
            </w:r>
          </w:p>
        </w:tc>
        <w:tc>
          <w:tcPr>
            <w:tcW w:type="dxa" w:w="6912"/>
            <w:shd w:fill="FFFFFF"/>
            <w:tcMar>
              <w:top w:w="80" w:type="dxa"/>
              <w:start w:w="90" w:type="dxa"/>
              <w:bottom w:w="80" w:type="dxa"/>
              <w:end w:w="90" w:type="dxa"/>
            </w:tcMar>
            <w:vAlign w:val="top"/>
          </w:tcPr>
          <w:p>
            <w:pPr>
              <w:spacing w:after="0"/>
            </w:pPr>
            <w:r>
              <w:rPr>
                <w:color w:val="1F2933"/>
                <w:sz w:val="16"/>
              </w:rPr>
              <w:t>latency, throughput, replay speed, review volume</w:t>
            </w:r>
          </w:p>
        </w:tc>
      </w:tr>
    </w:tbl>
    <w:p>
      <w:pPr>
        <w:spacing w:after="40"/>
      </w:pPr>
    </w:p>
    <w:p>
      <w:pPr>
        <w:pStyle w:val="Heading1"/>
        <w:keepNext/>
      </w:pPr>
      <w:r>
        <w:t>12. Explainability and Supporting Evidence-Grounded Diagnosis</w:t>
      </w:r>
    </w:p>
    <w:p>
      <w:pPr>
        <w:spacing w:after="100" w:line="254" w:lineRule="auto"/>
      </w:pPr>
      <w:r>
        <w:t>EXPLAIN is intentionally downstream of the scientific core. Its job is to expose why the ML system issued a screening result and, optionally, to provide a natural-language QA interface. It is not an alternative research thesis about LLMs.</w:t>
      </w:r>
    </w:p>
    <w:p>
      <w:pPr>
        <w:pStyle w:val="Heading2"/>
        <w:keepNext/>
      </w:pPr>
      <w:r>
        <w:t>12.1 Evidence compiler</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VERIFIED EVIDENCE INPUTS</w:t>
              <w:br/>
              <w:t xml:space="preserve">  |-- spec status</w:t>
              <w:br/>
              <w:t xml:space="preserve">  |-- lot median / MAD / percentile context</w:t>
              <w:br/>
              <w:t xml:space="preserve">  |-- temporal anomaly windows</w:t>
              <w:br/>
              <w:t xml:space="preserve">  |-- representation novelty</w:t>
              <w:br/>
              <w:t xml:space="preserve">  |-- 168h prediction + CQR interval</w:t>
              <w:br/>
              <w:t xml:space="preserve">  |-- conformal anomaly prediction set</w:t>
              <w:br/>
              <w:t xml:space="preserve">  |-- shift score / trust state</w:t>
              <w:br/>
              <w:t xml:space="preserve">  |-- benchmark ground truth (evaluation only)</w:t>
              <w:br/>
              <w:t xml:space="preserve">          |</w:t>
              <w:br/>
              <w:t xml:space="preserve">          v</w:t>
              <w:br/>
              <w:t>EVIDENCE COMPILER</w:t>
              <w:br/>
              <w:t xml:space="preserve">          |</w:t>
              <w:br/>
              <w:t xml:space="preserve">          v</w:t>
              <w:br/>
              <w:t>STRUCTURED QA RECORD</w:t>
            </w:r>
          </w:p>
        </w:tc>
      </w:tr>
    </w:tbl>
    <w:p>
      <w:pPr>
        <w:pStyle w:val="Heading2"/>
        <w:keepNext/>
      </w:pPr>
      <w:r>
        <w:t>12.2 Temporal explanation</w:t>
      </w:r>
    </w:p>
    <w:p>
      <w:pPr>
        <w:pStyle w:val="ListBullet"/>
        <w:spacing w:after="40"/>
        <w:ind w:left="317"/>
      </w:pPr>
      <w:r>
        <w:t>Use signal-level and temporal-window attribution rather than naïve point-wise feature ranking on correlated sequences.</w:t>
      </w:r>
    </w:p>
    <w:p>
      <w:pPr>
        <w:pStyle w:val="ListBullet"/>
        <w:spacing w:after="40"/>
        <w:ind w:left="317"/>
      </w:pPr>
      <w:r>
        <w:t>For tree models, use grouped / TreeSHAP contributions where appropriate.</w:t>
      </w:r>
    </w:p>
    <w:p>
      <w:pPr>
        <w:pStyle w:val="ListBullet"/>
        <w:spacing w:after="40"/>
        <w:ind w:left="317"/>
      </w:pPr>
      <w:r>
        <w:t>For temporal neural models, evaluate Integrated Gradients and/or a temporal attribution method such as TimeSHAP.</w:t>
      </w:r>
    </w:p>
    <w:p>
      <w:pPr>
        <w:pStyle w:val="ListBullet"/>
        <w:spacing w:after="40"/>
        <w:ind w:left="317"/>
      </w:pPr>
      <w:r>
        <w:t>Measure stability, deletion/comprehensiveness, sufficiency, temporal localization, and signal localization on BurnIn-Bench.</w:t>
      </w:r>
    </w:p>
    <w:p>
      <w:pPr>
        <w:pStyle w:val="Heading2"/>
        <w:keepNext/>
      </w:pPr>
      <w:r>
        <w:t>12.3 Supporting Evidence-Grounded Diagnostic Agent</w:t>
      </w:r>
    </w:p>
    <w:p>
      <w:pPr>
        <w:spacing w:after="100" w:line="254" w:lineRule="auto"/>
      </w:pPr>
      <w:r>
        <w:t>The LLM/agent is a supporting application module. It consumes only the verified structured QA record and may produce a concise diagnostic narrative, investigation checklist, or QA chat response. It does not retrieve unverified evidence to override the screening logic, and it never modifies the numerical anomaly score, drift forecast, conformal interval, shift score, or disposition.</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SCREENING CORE</w:t>
              <w:br/>
              <w:t xml:space="preserve">  DETECT + PREDICT + TRUST</w:t>
              <w:br/>
              <w:t xml:space="preserve">          |</w:t>
              <w:br/>
              <w:t xml:space="preserve">          v</w:t>
              <w:br/>
              <w:t xml:space="preserve">  VERIFIED EVIDENCE RECORD</w:t>
              <w:br/>
              <w:t xml:space="preserve">          |</w:t>
              <w:br/>
              <w:t xml:space="preserve">          v</w:t>
              <w:br/>
              <w:t xml:space="preserve">  OPTIONAL LLM / AGENT</w:t>
              <w:br/>
              <w:t xml:space="preserve">    |             |</w:t>
              <w:br/>
              <w:t xml:space="preserve">  QA REPORT     QA CHAT</w:t>
              <w:br/>
              <w:br/>
              <w:t>AUTHORITY:</w:t>
              <w:br/>
              <w:t xml:space="preserve">  ML + deterministic decision logic -&gt; disposition</w:t>
              <w:br/>
              <w:t xml:space="preserve">  LLM -&gt; language / evidence summarization only</w:t>
            </w:r>
          </w:p>
        </w:tc>
      </w:tr>
    </w:tbl>
    <w:p>
      <w:pPr>
        <w:pStyle w:val="Heading2"/>
        <w:keepNext/>
      </w:pPr>
      <w:r>
        <w:t>12.4 Diagnostic authority levels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152"/>
            <w:shd w:fill="183A5A"/>
            <w:tcMar>
              <w:top w:w="80" w:type="dxa"/>
              <w:start w:w="90" w:type="dxa"/>
              <w:bottom w:w="80" w:type="dxa"/>
              <w:end w:w="90" w:type="dxa"/>
            </w:tcMar>
            <w:vAlign w:val="center"/>
          </w:tcPr>
          <w:p>
            <w:pPr>
              <w:jc w:val="left"/>
            </w:pPr>
            <w:r>
              <w:rPr>
                <w:b/>
                <w:color w:val="FFFFFF"/>
                <w:sz w:val="16"/>
              </w:rPr>
              <w:t>Level</w:t>
            </w:r>
          </w:p>
        </w:tc>
        <w:tc>
          <w:tcPr>
            <w:tcW w:type="dxa" w:w="8352"/>
            <w:shd w:fill="183A5A"/>
            <w:tcMar>
              <w:top w:w="80" w:type="dxa"/>
              <w:start w:w="90" w:type="dxa"/>
              <w:bottom w:w="80" w:type="dxa"/>
              <w:end w:w="90" w:type="dxa"/>
            </w:tcMar>
            <w:vAlign w:val="center"/>
          </w:tcPr>
          <w:p>
            <w:pPr>
              <w:jc w:val="left"/>
            </w:pPr>
            <w:r>
              <w:rPr>
                <w:b/>
                <w:color w:val="FFFFFF"/>
                <w:sz w:val="16"/>
              </w:rPr>
              <w:t>Permitted statement</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0</w:t>
            </w:r>
          </w:p>
        </w:tc>
        <w:tc>
          <w:tcPr>
            <w:tcW w:type="dxa" w:w="8352"/>
            <w:shd w:fill="FFFFFF"/>
            <w:tcMar>
              <w:top w:w="80" w:type="dxa"/>
              <w:start w:w="90" w:type="dxa"/>
              <w:bottom w:w="80" w:type="dxa"/>
              <w:end w:w="90" w:type="dxa"/>
            </w:tcMar>
            <w:vAlign w:val="top"/>
          </w:tcPr>
          <w:p>
            <w:pPr>
              <w:spacing w:after="0"/>
            </w:pPr>
            <w:r>
              <w:rPr>
                <w:color w:val="1F2933"/>
                <w:sz w:val="16"/>
              </w:rPr>
              <w:t>Observed deviation in the recorded measurements</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1</w:t>
            </w:r>
          </w:p>
        </w:tc>
        <w:tc>
          <w:tcPr>
            <w:tcW w:type="dxa" w:w="8352"/>
            <w:shd w:fill="F4F7F9"/>
            <w:tcMar>
              <w:top w:w="80" w:type="dxa"/>
              <w:start w:w="90" w:type="dxa"/>
              <w:bottom w:w="80" w:type="dxa"/>
              <w:end w:w="90" w:type="dxa"/>
            </w:tcMar>
            <w:vAlign w:val="top"/>
          </w:tcPr>
          <w:p>
            <w:pPr>
              <w:spacing w:after="0"/>
            </w:pPr>
            <w:r>
              <w:rPr>
                <w:color w:val="1F2933"/>
                <w:sz w:val="16"/>
              </w:rPr>
              <w:t>Model-supported anomaly pattern</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2</w:t>
            </w:r>
          </w:p>
        </w:tc>
        <w:tc>
          <w:tcPr>
            <w:tcW w:type="dxa" w:w="8352"/>
            <w:shd w:fill="FFFFFF"/>
            <w:tcMar>
              <w:top w:w="80" w:type="dxa"/>
              <w:start w:w="90" w:type="dxa"/>
              <w:bottom w:w="80" w:type="dxa"/>
              <w:end w:w="90" w:type="dxa"/>
            </w:tcMar>
            <w:vAlign w:val="top"/>
          </w:tcPr>
          <w:p>
            <w:pPr>
              <w:spacing w:after="0"/>
            </w:pPr>
            <w:r>
              <w:rPr>
                <w:color w:val="1F2933"/>
                <w:sz w:val="16"/>
              </w:rPr>
              <w:t>Candidate failure family / behavioural pattern</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3</w:t>
            </w:r>
          </w:p>
        </w:tc>
        <w:tc>
          <w:tcPr>
            <w:tcW w:type="dxa" w:w="8352"/>
            <w:shd w:fill="F4F7F9"/>
            <w:tcMar>
              <w:top w:w="80" w:type="dxa"/>
              <w:start w:w="90" w:type="dxa"/>
              <w:bottom w:w="80" w:type="dxa"/>
              <w:end w:w="90" w:type="dxa"/>
            </w:tcMar>
            <w:vAlign w:val="top"/>
          </w:tcPr>
          <w:p>
            <w:pPr>
              <w:spacing w:after="0"/>
            </w:pPr>
            <w:r>
              <w:rPr>
                <w:color w:val="1F2933"/>
                <w:sz w:val="16"/>
              </w:rPr>
              <w:t>Possible physical mechanism, explicitly uncertain and evidence-linked</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4</w:t>
            </w:r>
          </w:p>
        </w:tc>
        <w:tc>
          <w:tcPr>
            <w:tcW w:type="dxa" w:w="8352"/>
            <w:shd w:fill="FFFFFF"/>
            <w:tcMar>
              <w:top w:w="80" w:type="dxa"/>
              <w:start w:w="90" w:type="dxa"/>
              <w:bottom w:w="80" w:type="dxa"/>
              <w:end w:w="90" w:type="dxa"/>
            </w:tcMar>
            <w:vAlign w:val="top"/>
          </w:tcPr>
          <w:p>
            <w:pPr>
              <w:spacing w:after="0"/>
            </w:pPr>
            <w:r>
              <w:rPr>
                <w:color w:val="1F2933"/>
                <w:sz w:val="16"/>
              </w:rPr>
              <w:t>Confirmed physical root cause only when independently demonstrated; never from LLM output alone</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2E7D77"/>
              </w:rPr>
              <w:t>Paper positioning</w:t>
            </w:r>
          </w:p>
          <w:p>
            <w:pPr>
              <w:spacing w:after="0"/>
            </w:pPr>
            <w:r>
              <w:t>During research-paper drafting, the agent can be included as a clearly labelled application-layer module or supplementary experiment. The core paper remains ML + conformal trust under shift + BurnIn-Bench. The agent is not necessary to establish the main scientific result.</w:t>
            </w:r>
          </w:p>
        </w:tc>
      </w:tr>
    </w:tbl>
    <w:p>
      <w:pPr>
        <w:pStyle w:val="Heading1"/>
        <w:keepNext/>
      </w:pPr>
      <w:r>
        <w:t>13. Software Replay, APIs, Dashboard, and Deployment Architecture</w:t>
      </w:r>
    </w:p>
    <w:p>
      <w:pPr>
        <w:spacing w:after="100" w:line="254" w:lineRule="auto"/>
      </w:pPr>
      <w:r>
        <w:t>The end-to-end demonstration is software-only. BurnIn-Bench and public/proxy trajectories feed an accelerated replay engine that emits the same schema the live system would receive. The same API, AI services, decision layer, evidence store, and dashboard are used for research and demonstration. This removes hardware availability from the critical path.</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BurnIn-Bench / Public Proxy Data</w:t>
              <w:br/>
              <w:t xml:space="preserve">          |</w:t>
              <w:br/>
              <w:t xml:space="preserve">          v</w:t>
              <w:br/>
              <w:t xml:space="preserve">  Replay + Stream Scheduler</w:t>
              <w:br/>
              <w:t xml:space="preserve">          |</w:t>
              <w:br/>
              <w:t xml:space="preserve">          v</w:t>
              <w:br/>
              <w:t xml:space="preserve">  FastAPI ingestion endpoint</w:t>
              <w:br/>
              <w:t xml:space="preserve">          |</w:t>
              <w:br/>
              <w:t xml:space="preserve">          +--&gt; schema / QC</w:t>
              <w:br/>
              <w:t xml:space="preserve">          |</w:t>
              <w:br/>
              <w:t xml:space="preserve">          +--&gt; REPRESENT</w:t>
              <w:br/>
              <w:t xml:space="preserve">          +--&gt; DETECT</w:t>
              <w:br/>
              <w:t xml:space="preserve">          +--&gt; PREDICT</w:t>
              <w:br/>
              <w:t xml:space="preserve">          +--&gt; TRUST</w:t>
              <w:br/>
              <w:t xml:space="preserve">          |</w:t>
              <w:br/>
              <w:t xml:space="preserve">          v</w:t>
              <w:br/>
              <w:t xml:space="preserve"> Decision Engine -&gt; PASS / REVIEW / HIGH RISK</w:t>
              <w:br/>
              <w:t xml:space="preserve">          |</w:t>
              <w:br/>
              <w:t xml:space="preserve">          +--&gt; Evidence Store</w:t>
              <w:br/>
              <w:t xml:space="preserve">          |</w:t>
              <w:br/>
              <w:t xml:space="preserve">          +--&gt; QA Dashboard / optional LLM support</w:t>
              <w:br/>
            </w:r>
          </w:p>
        </w:tc>
      </w:tr>
    </w:tbl>
    <w:p>
      <w:pPr>
        <w:pStyle w:val="Heading2"/>
        <w:keepNext/>
      </w:pPr>
      <w:r>
        <w:t>13.1 Canonical measurement record</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w:t>
              <w:br/>
              <w:t xml:space="preserve">  component_id,</w:t>
              <w:br/>
              <w:t xml:space="preserve">  lot_id,</w:t>
              <w:br/>
              <w:t xml:space="preserve">  stage_hours,</w:t>
              <w:br/>
              <w:t xml:space="preserve">  timestamp,</w:t>
              <w:br/>
              <w:t xml:space="preserve">  parameter,</w:t>
              <w:br/>
              <w:t xml:space="preserve">  value,</w:t>
              <w:br/>
              <w:t xml:space="preserve">  unit,</w:t>
              <w:br/>
              <w:t xml:space="preserve">  test_condition,</w:t>
              <w:br/>
              <w:t xml:space="preserve">  source_id,</w:t>
              <w:br/>
              <w:t xml:space="preserve">  qc_flags,</w:t>
              <w:br/>
              <w:t xml:space="preserve">  dataset_version,</w:t>
              <w:br/>
              <w:t xml:space="preserve">  generator_version</w:t>
              <w:br/>
              <w:t>}</w:t>
            </w:r>
          </w:p>
        </w:tc>
      </w:tr>
    </w:tbl>
    <w:p>
      <w:pPr>
        <w:pStyle w:val="Heading2"/>
        <w:keepNext/>
      </w:pPr>
      <w:r>
        <w:t>13.2 Canonical model decision record</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w:t>
              <w:br/>
              <w:t xml:space="preserve">  component_id,</w:t>
              <w:br/>
              <w:t xml:space="preserve">  lot_id,</w:t>
              <w:br/>
              <w:t xml:space="preserve">  stage_hours,</w:t>
              <w:br/>
              <w:t xml:space="preserve">  model_version,</w:t>
              <w:br/>
              <w:t xml:space="preserve">  feature_version,</w:t>
              <w:br/>
              <w:t xml:space="preserve">  anomaly_score,</w:t>
              <w:br/>
              <w:t xml:space="preserve">  predicted_168h,</w:t>
              <w:br/>
              <w:t xml:space="preserve">  conformal_interval,</w:t>
              <w:br/>
              <w:t xml:space="preserve">  anomaly_prediction_set,</w:t>
              <w:br/>
              <w:t xml:space="preserve">  shift_score,</w:t>
              <w:br/>
              <w:t xml:space="preserve">  trust_state,</w:t>
              <w:br/>
              <w:t xml:space="preserve">  disposition,</w:t>
              <w:br/>
              <w:t xml:space="preserve">  evidence_summary,</w:t>
              <w:br/>
              <w:t xml:space="preserve">  explanation_version,</w:t>
              <w:br/>
              <w:t xml:space="preserve">  timestamp</w:t>
              <w:br/>
              <w:t>}</w:t>
            </w:r>
          </w:p>
        </w:tc>
      </w:tr>
    </w:tbl>
    <w:p>
      <w:pPr>
        <w:pStyle w:val="Heading2"/>
        <w:keepNext/>
      </w:pPr>
      <w:r>
        <w:t>13.3 Accelerated replay</w:t>
      </w:r>
    </w:p>
    <w:p>
      <w:pPr>
        <w:spacing w:after="100" w:line="254" w:lineRule="auto"/>
      </w:pPr>
      <w:r>
        <w:t>A deterministic demo may map 0h -&gt; minute 0, 24h -&gt; minute 1, 96h -&gt; minute 2, and 168h -&gt; minute 3, or use another documented acceleration ratio. The system is replaying already generated or recorded trajectories; it is not compressing physical time or claiming a real 168-hour test occurred in minutes.</w:t>
      </w:r>
    </w:p>
    <w:p>
      <w:pPr>
        <w:pStyle w:val="Heading2"/>
        <w:keepNext/>
      </w:pPr>
      <w:r>
        <w:t>13.4 Dashboard views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83A5A"/>
            <w:tcMar>
              <w:top w:w="80" w:type="dxa"/>
              <w:start w:w="90" w:type="dxa"/>
              <w:bottom w:w="80" w:type="dxa"/>
              <w:end w:w="90" w:type="dxa"/>
            </w:tcMar>
            <w:vAlign w:val="center"/>
          </w:tcPr>
          <w:p>
            <w:pPr>
              <w:jc w:val="left"/>
            </w:pPr>
            <w:r>
              <w:rPr>
                <w:b/>
                <w:color w:val="FFFFFF"/>
                <w:sz w:val="16"/>
              </w:rPr>
              <w:t>View</w:t>
            </w:r>
          </w:p>
        </w:tc>
        <w:tc>
          <w:tcPr>
            <w:tcW w:type="dxa" w:w="7344"/>
            <w:shd w:fill="183A5A"/>
            <w:tcMar>
              <w:top w:w="80" w:type="dxa"/>
              <w:start w:w="90" w:type="dxa"/>
              <w:bottom w:w="80" w:type="dxa"/>
              <w:end w:w="90" w:type="dxa"/>
            </w:tcMar>
            <w:vAlign w:val="center"/>
          </w:tcPr>
          <w:p>
            <w:pPr>
              <w:jc w:val="left"/>
            </w:pPr>
            <w:r>
              <w:rPr>
                <w:b/>
                <w:color w:val="FFFFFF"/>
                <w:sz w:val="16"/>
              </w:rPr>
              <w:t>Display</w:t>
            </w:r>
          </w:p>
        </w:tc>
      </w:tr>
      <w:tr>
        <w:trPr>
          <w:cantSplit/>
        </w:trPr>
        <w:tc>
          <w:tcPr>
            <w:tcW w:type="dxa" w:w="2232"/>
            <w:shd w:fill="FFFFFF"/>
            <w:tcMar>
              <w:top w:w="80" w:type="dxa"/>
              <w:start w:w="90" w:type="dxa"/>
              <w:bottom w:w="80" w:type="dxa"/>
              <w:end w:w="90" w:type="dxa"/>
            </w:tcMar>
            <w:vAlign w:val="top"/>
          </w:tcPr>
          <w:p>
            <w:pPr>
              <w:spacing w:after="0"/>
            </w:pPr>
            <w:r>
              <w:rPr>
                <w:color w:val="1F2933"/>
                <w:sz w:val="16"/>
              </w:rPr>
              <w:t>Lot overview</w:t>
            </w:r>
          </w:p>
        </w:tc>
        <w:tc>
          <w:tcPr>
            <w:tcW w:type="dxa" w:w="7344"/>
            <w:shd w:fill="FFFFFF"/>
            <w:tcMar>
              <w:top w:w="80" w:type="dxa"/>
              <w:start w:w="90" w:type="dxa"/>
              <w:bottom w:w="80" w:type="dxa"/>
              <w:end w:w="90" w:type="dxa"/>
            </w:tcMar>
            <w:vAlign w:val="top"/>
          </w:tcPr>
          <w:p>
            <w:pPr>
              <w:spacing w:after="0"/>
            </w:pPr>
            <w:r>
              <w:rPr>
                <w:color w:val="1F2933"/>
                <w:sz w:val="16"/>
              </w:rPr>
              <w:t>Current lot context, distribution shift status, counts by disposition</w:t>
            </w:r>
          </w:p>
        </w:tc>
      </w:tr>
      <w:tr>
        <w:trPr>
          <w:cantSplit/>
        </w:trPr>
        <w:tc>
          <w:tcPr>
            <w:tcW w:type="dxa" w:w="2232"/>
            <w:shd w:fill="F4F7F9"/>
            <w:tcMar>
              <w:top w:w="80" w:type="dxa"/>
              <w:start w:w="90" w:type="dxa"/>
              <w:bottom w:w="80" w:type="dxa"/>
              <w:end w:w="90" w:type="dxa"/>
            </w:tcMar>
            <w:vAlign w:val="top"/>
          </w:tcPr>
          <w:p>
            <w:pPr>
              <w:spacing w:after="0"/>
            </w:pPr>
            <w:r>
              <w:rPr>
                <w:color w:val="1F2933"/>
                <w:sz w:val="16"/>
              </w:rPr>
              <w:t>Component detail</w:t>
            </w:r>
          </w:p>
        </w:tc>
        <w:tc>
          <w:tcPr>
            <w:tcW w:type="dxa" w:w="7344"/>
            <w:shd w:fill="F4F7F9"/>
            <w:tcMar>
              <w:top w:w="80" w:type="dxa"/>
              <w:start w:w="90" w:type="dxa"/>
              <w:bottom w:w="80" w:type="dxa"/>
              <w:end w:w="90" w:type="dxa"/>
            </w:tcMar>
            <w:vAlign w:val="top"/>
          </w:tcPr>
          <w:p>
            <w:pPr>
              <w:spacing w:after="0"/>
            </w:pPr>
            <w:r>
              <w:rPr>
                <w:color w:val="1F2933"/>
                <w:sz w:val="16"/>
              </w:rPr>
              <w:t>Trajectory, peer-relative residual, anomaly evidence, 168h forecast, conformal interval</w:t>
            </w:r>
          </w:p>
        </w:tc>
      </w:tr>
      <w:tr>
        <w:trPr>
          <w:cantSplit/>
        </w:trPr>
        <w:tc>
          <w:tcPr>
            <w:tcW w:type="dxa" w:w="2232"/>
            <w:shd w:fill="FFFFFF"/>
            <w:tcMar>
              <w:top w:w="80" w:type="dxa"/>
              <w:start w:w="90" w:type="dxa"/>
              <w:bottom w:w="80" w:type="dxa"/>
              <w:end w:w="90" w:type="dxa"/>
            </w:tcMar>
            <w:vAlign w:val="top"/>
          </w:tcPr>
          <w:p>
            <w:pPr>
              <w:spacing w:after="0"/>
            </w:pPr>
            <w:r>
              <w:rPr>
                <w:color w:val="1F2933"/>
                <w:sz w:val="16"/>
              </w:rPr>
              <w:t>Trust panel</w:t>
            </w:r>
          </w:p>
        </w:tc>
        <w:tc>
          <w:tcPr>
            <w:tcW w:type="dxa" w:w="7344"/>
            <w:shd w:fill="FFFFFF"/>
            <w:tcMar>
              <w:top w:w="80" w:type="dxa"/>
              <w:start w:w="90" w:type="dxa"/>
              <w:bottom w:w="80" w:type="dxa"/>
              <w:end w:w="90" w:type="dxa"/>
            </w:tcMar>
            <w:vAlign w:val="top"/>
          </w:tcPr>
          <w:p>
            <w:pPr>
              <w:spacing w:after="0"/>
            </w:pPr>
            <w:r>
              <w:rPr>
                <w:color w:val="1F2933"/>
                <w:sz w:val="16"/>
              </w:rPr>
              <w:t>Shift score, coverage statistics from validation, prediction-set ambiguity, review state</w:t>
            </w:r>
          </w:p>
        </w:tc>
      </w:tr>
      <w:tr>
        <w:trPr>
          <w:cantSplit/>
        </w:trPr>
        <w:tc>
          <w:tcPr>
            <w:tcW w:type="dxa" w:w="2232"/>
            <w:shd w:fill="F4F7F9"/>
            <w:tcMar>
              <w:top w:w="80" w:type="dxa"/>
              <w:start w:w="90" w:type="dxa"/>
              <w:bottom w:w="80" w:type="dxa"/>
              <w:end w:w="90" w:type="dxa"/>
            </w:tcMar>
            <w:vAlign w:val="top"/>
          </w:tcPr>
          <w:p>
            <w:pPr>
              <w:spacing w:after="0"/>
            </w:pPr>
            <w:r>
              <w:rPr>
                <w:color w:val="1F2933"/>
                <w:sz w:val="16"/>
              </w:rPr>
              <w:t>QA evidence</w:t>
            </w:r>
          </w:p>
        </w:tc>
        <w:tc>
          <w:tcPr>
            <w:tcW w:type="dxa" w:w="7344"/>
            <w:shd w:fill="F4F7F9"/>
            <w:tcMar>
              <w:top w:w="80" w:type="dxa"/>
              <w:start w:w="90" w:type="dxa"/>
              <w:bottom w:w="80" w:type="dxa"/>
              <w:end w:w="90" w:type="dxa"/>
            </w:tcMar>
            <w:vAlign w:val="top"/>
          </w:tcPr>
          <w:p>
            <w:pPr>
              <w:spacing w:after="0"/>
            </w:pPr>
            <w:r>
              <w:rPr>
                <w:color w:val="1F2933"/>
                <w:sz w:val="16"/>
              </w:rPr>
              <w:t>Verified evidence record and attribution windows</w:t>
            </w:r>
          </w:p>
        </w:tc>
      </w:tr>
      <w:tr>
        <w:trPr>
          <w:cantSplit/>
        </w:trPr>
        <w:tc>
          <w:tcPr>
            <w:tcW w:type="dxa" w:w="2232"/>
            <w:shd w:fill="FFFFFF"/>
            <w:tcMar>
              <w:top w:w="80" w:type="dxa"/>
              <w:start w:w="90" w:type="dxa"/>
              <w:bottom w:w="80" w:type="dxa"/>
              <w:end w:w="90" w:type="dxa"/>
            </w:tcMar>
            <w:vAlign w:val="top"/>
          </w:tcPr>
          <w:p>
            <w:pPr>
              <w:spacing w:after="0"/>
            </w:pPr>
            <w:r>
              <w:rPr>
                <w:color w:val="1F2933"/>
                <w:sz w:val="16"/>
              </w:rPr>
              <w:t>Replay controls</w:t>
            </w:r>
          </w:p>
        </w:tc>
        <w:tc>
          <w:tcPr>
            <w:tcW w:type="dxa" w:w="7344"/>
            <w:shd w:fill="FFFFFF"/>
            <w:tcMar>
              <w:top w:w="80" w:type="dxa"/>
              <w:start w:w="90" w:type="dxa"/>
              <w:bottom w:w="80" w:type="dxa"/>
              <w:end w:w="90" w:type="dxa"/>
            </w:tcMar>
            <w:vAlign w:val="top"/>
          </w:tcPr>
          <w:p>
            <w:pPr>
              <w:spacing w:after="0"/>
            </w:pPr>
            <w:r>
              <w:rPr>
                <w:color w:val="1F2933"/>
                <w:sz w:val="16"/>
              </w:rPr>
              <w:t>Stage progression, pause/resume, deterministic seed / scenario ID</w:t>
            </w:r>
          </w:p>
        </w:tc>
      </w:tr>
    </w:tbl>
    <w:p>
      <w:pPr>
        <w:spacing w:after="40"/>
      </w:pPr>
    </w:p>
    <w:p>
      <w:pPr>
        <w:pStyle w:val="Heading1"/>
        <w:keepNext/>
      </w:pPr>
      <w:r>
        <w:t>14. Experimental Methodology</w:t>
      </w:r>
    </w:p>
    <w:p>
      <w:pPr>
        <w:spacing w:after="100" w:line="254" w:lineRule="auto"/>
      </w:pPr>
      <w:r>
        <w:t>The experimental program is the centre of the future paper. Every experiment must state dataset source, train/calibration/test lots, information available at the prediction stage, label budget, shift condition, and primary metrics before results are interpreted.</w:t>
      </w:r>
    </w:p>
    <w:p>
      <w:pPr>
        <w:pStyle w:val="Heading2"/>
        <w:keepNext/>
      </w:pPr>
      <w:r>
        <w:t>14.1 Primary experiment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92"/>
            <w:shd w:fill="183A5A"/>
            <w:tcMar>
              <w:top w:w="80" w:type="dxa"/>
              <w:start w:w="90" w:type="dxa"/>
              <w:bottom w:w="80" w:type="dxa"/>
              <w:end w:w="90" w:type="dxa"/>
            </w:tcMar>
            <w:vAlign w:val="center"/>
          </w:tcPr>
          <w:p>
            <w:pPr>
              <w:jc w:val="left"/>
            </w:pPr>
            <w:r>
              <w:rPr>
                <w:b/>
                <w:color w:val="FFFFFF"/>
                <w:sz w:val="16"/>
              </w:rPr>
              <w:t>Experiment</w:t>
            </w:r>
          </w:p>
        </w:tc>
        <w:tc>
          <w:tcPr>
            <w:tcW w:type="dxa" w:w="5112"/>
            <w:shd w:fill="183A5A"/>
            <w:tcMar>
              <w:top w:w="80" w:type="dxa"/>
              <w:start w:w="90" w:type="dxa"/>
              <w:bottom w:w="80" w:type="dxa"/>
              <w:end w:w="90" w:type="dxa"/>
            </w:tcMar>
            <w:vAlign w:val="center"/>
          </w:tcPr>
          <w:p>
            <w:pPr>
              <w:jc w:val="left"/>
            </w:pPr>
            <w:r>
              <w:rPr>
                <w:b/>
                <w:color w:val="FFFFFF"/>
                <w:sz w:val="16"/>
              </w:rPr>
              <w:t>Comparison / intervention</w:t>
            </w:r>
          </w:p>
        </w:tc>
        <w:tc>
          <w:tcPr>
            <w:tcW w:type="dxa" w:w="3744"/>
            <w:shd w:fill="183A5A"/>
            <w:tcMar>
              <w:top w:w="80" w:type="dxa"/>
              <w:start w:w="90" w:type="dxa"/>
              <w:bottom w:w="80" w:type="dxa"/>
              <w:end w:w="90" w:type="dxa"/>
            </w:tcMar>
            <w:vAlign w:val="center"/>
          </w:tcPr>
          <w:p>
            <w:pPr>
              <w:jc w:val="left"/>
            </w:pPr>
            <w:r>
              <w:rPr>
                <w:b/>
                <w:color w:val="FFFFFF"/>
                <w:sz w:val="16"/>
              </w:rPr>
              <w:t>Main outcome</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E1</w:t>
            </w:r>
          </w:p>
        </w:tc>
        <w:tc>
          <w:tcPr>
            <w:tcW w:type="dxa" w:w="5112"/>
            <w:shd w:fill="FFFFFF"/>
            <w:tcMar>
              <w:top w:w="80" w:type="dxa"/>
              <w:start w:w="90" w:type="dxa"/>
              <w:bottom w:w="80" w:type="dxa"/>
              <w:end w:w="90" w:type="dxa"/>
            </w:tcMar>
            <w:vAlign w:val="top"/>
          </w:tcPr>
          <w:p>
            <w:pPr>
              <w:spacing w:after="0"/>
            </w:pPr>
            <w:r>
              <w:rPr>
                <w:color w:val="1F2933"/>
                <w:sz w:val="16"/>
              </w:rPr>
              <w:t>Static threshold vs robust lot statistics vs conventional ML anomaly vs proposed</w:t>
            </w:r>
          </w:p>
        </w:tc>
        <w:tc>
          <w:tcPr>
            <w:tcW w:type="dxa" w:w="3744"/>
            <w:shd w:fill="FFFFFF"/>
            <w:tcMar>
              <w:top w:w="80" w:type="dxa"/>
              <w:start w:w="90" w:type="dxa"/>
              <w:bottom w:w="80" w:type="dxa"/>
              <w:end w:w="90" w:type="dxa"/>
            </w:tcMar>
            <w:vAlign w:val="top"/>
          </w:tcPr>
          <w:p>
            <w:pPr>
              <w:spacing w:after="0"/>
            </w:pPr>
            <w:r>
              <w:rPr>
                <w:color w:val="1F2933"/>
                <w:sz w:val="16"/>
              </w:rPr>
              <w:t>Latent-defect FNR and early-warning lead time</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E2</w:t>
            </w:r>
          </w:p>
        </w:tc>
        <w:tc>
          <w:tcPr>
            <w:tcW w:type="dxa" w:w="5112"/>
            <w:shd w:fill="F4F7F9"/>
            <w:tcMar>
              <w:top w:w="80" w:type="dxa"/>
              <w:start w:w="90" w:type="dxa"/>
              <w:bottom w:w="80" w:type="dxa"/>
              <w:end w:w="90" w:type="dxa"/>
            </w:tcMar>
            <w:vAlign w:val="top"/>
          </w:tcPr>
          <w:p>
            <w:pPr>
              <w:spacing w:after="0"/>
            </w:pPr>
            <w:r>
              <w:rPr>
                <w:color w:val="1F2933"/>
                <w:sz w:val="16"/>
              </w:rPr>
              <w:t>Supervised vs SSL under 100/50/20/10/5/1% labels</w:t>
            </w:r>
          </w:p>
        </w:tc>
        <w:tc>
          <w:tcPr>
            <w:tcW w:type="dxa" w:w="3744"/>
            <w:shd w:fill="F4F7F9"/>
            <w:tcMar>
              <w:top w:w="80" w:type="dxa"/>
              <w:start w:w="90" w:type="dxa"/>
              <w:bottom w:w="80" w:type="dxa"/>
              <w:end w:w="90" w:type="dxa"/>
            </w:tcMar>
            <w:vAlign w:val="top"/>
          </w:tcPr>
          <w:p>
            <w:pPr>
              <w:spacing w:after="0"/>
            </w:pPr>
            <w:r>
              <w:rPr>
                <w:color w:val="1F2933"/>
                <w:sz w:val="16"/>
              </w:rPr>
              <w:t>Label efficiency</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E3</w:t>
            </w:r>
          </w:p>
        </w:tc>
        <w:tc>
          <w:tcPr>
            <w:tcW w:type="dxa" w:w="5112"/>
            <w:shd w:fill="FFFFFF"/>
            <w:tcMar>
              <w:top w:w="80" w:type="dxa"/>
              <w:start w:w="90" w:type="dxa"/>
              <w:bottom w:w="80" w:type="dxa"/>
              <w:end w:w="90" w:type="dxa"/>
            </w:tcMar>
            <w:vAlign w:val="top"/>
          </w:tcPr>
          <w:p>
            <w:pPr>
              <w:spacing w:after="0"/>
            </w:pPr>
            <w:r>
              <w:rPr>
                <w:color w:val="1F2933"/>
                <w:sz w:val="16"/>
              </w:rPr>
              <w:t>Random component split vs unseen-lot split</w:t>
            </w:r>
          </w:p>
        </w:tc>
        <w:tc>
          <w:tcPr>
            <w:tcW w:type="dxa" w:w="3744"/>
            <w:shd w:fill="FFFFFF"/>
            <w:tcMar>
              <w:top w:w="80" w:type="dxa"/>
              <w:start w:w="90" w:type="dxa"/>
              <w:bottom w:w="80" w:type="dxa"/>
              <w:end w:w="90" w:type="dxa"/>
            </w:tcMar>
            <w:vAlign w:val="top"/>
          </w:tcPr>
          <w:p>
            <w:pPr>
              <w:spacing w:after="0"/>
            </w:pPr>
            <w:r>
              <w:rPr>
                <w:color w:val="1F2933"/>
                <w:sz w:val="16"/>
              </w:rPr>
              <w:t>Generalization gap</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E4</w:t>
            </w:r>
          </w:p>
        </w:tc>
        <w:tc>
          <w:tcPr>
            <w:tcW w:type="dxa" w:w="5112"/>
            <w:shd w:fill="F4F7F9"/>
            <w:tcMar>
              <w:top w:w="80" w:type="dxa"/>
              <w:start w:w="90" w:type="dxa"/>
              <w:bottom w:w="80" w:type="dxa"/>
              <w:end w:w="90" w:type="dxa"/>
            </w:tcMar>
            <w:vAlign w:val="top"/>
          </w:tcPr>
          <w:p>
            <w:pPr>
              <w:spacing w:after="0"/>
            </w:pPr>
            <w:r>
              <w:rPr>
                <w:color w:val="1F2933"/>
                <w:sz w:val="16"/>
              </w:rPr>
              <w:t>Baseline / variance / noise / trajectory shift ladder</w:t>
            </w:r>
          </w:p>
        </w:tc>
        <w:tc>
          <w:tcPr>
            <w:tcW w:type="dxa" w:w="3744"/>
            <w:shd w:fill="F4F7F9"/>
            <w:tcMar>
              <w:top w:w="80" w:type="dxa"/>
              <w:start w:w="90" w:type="dxa"/>
              <w:bottom w:w="80" w:type="dxa"/>
              <w:end w:w="90" w:type="dxa"/>
            </w:tcMar>
            <w:vAlign w:val="top"/>
          </w:tcPr>
          <w:p>
            <w:pPr>
              <w:spacing w:after="0"/>
            </w:pPr>
            <w:r>
              <w:rPr>
                <w:color w:val="1F2933"/>
                <w:sz w:val="16"/>
              </w:rPr>
              <w:t>Robustness under distribution shift</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E5</w:t>
            </w:r>
          </w:p>
        </w:tc>
        <w:tc>
          <w:tcPr>
            <w:tcW w:type="dxa" w:w="5112"/>
            <w:shd w:fill="FFFFFF"/>
            <w:tcMar>
              <w:top w:w="80" w:type="dxa"/>
              <w:start w:w="90" w:type="dxa"/>
              <w:bottom w:w="80" w:type="dxa"/>
              <w:end w:w="90" w:type="dxa"/>
            </w:tcMar>
            <w:vAlign w:val="top"/>
          </w:tcPr>
          <w:p>
            <w:pPr>
              <w:spacing w:after="0"/>
            </w:pPr>
            <w:r>
              <w:rPr>
                <w:color w:val="1F2933"/>
                <w:sz w:val="16"/>
              </w:rPr>
              <w:t>0h + 24h -&gt; 168h forecast</w:t>
            </w:r>
          </w:p>
        </w:tc>
        <w:tc>
          <w:tcPr>
            <w:tcW w:type="dxa" w:w="3744"/>
            <w:shd w:fill="FFFFFF"/>
            <w:tcMar>
              <w:top w:w="80" w:type="dxa"/>
              <w:start w:w="90" w:type="dxa"/>
              <w:bottom w:w="80" w:type="dxa"/>
              <w:end w:w="90" w:type="dxa"/>
            </w:tcMar>
            <w:vAlign w:val="top"/>
          </w:tcPr>
          <w:p>
            <w:pPr>
              <w:spacing w:after="0"/>
            </w:pPr>
            <w:r>
              <w:rPr>
                <w:color w:val="1F2933"/>
                <w:sz w:val="16"/>
              </w:rPr>
              <w:t>MAE/RMSE + early-warning utility</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E6</w:t>
            </w:r>
          </w:p>
        </w:tc>
        <w:tc>
          <w:tcPr>
            <w:tcW w:type="dxa" w:w="5112"/>
            <w:shd w:fill="F4F7F9"/>
            <w:tcMar>
              <w:top w:w="80" w:type="dxa"/>
              <w:start w:w="90" w:type="dxa"/>
              <w:bottom w:w="80" w:type="dxa"/>
              <w:end w:w="90" w:type="dxa"/>
            </w:tcMar>
            <w:vAlign w:val="top"/>
          </w:tcPr>
          <w:p>
            <w:pPr>
              <w:spacing w:after="0"/>
            </w:pPr>
            <w:r>
              <w:rPr>
                <w:color w:val="1F2933"/>
                <w:sz w:val="16"/>
              </w:rPr>
              <w:t>CQR calibration in-distribution</w:t>
            </w:r>
          </w:p>
        </w:tc>
        <w:tc>
          <w:tcPr>
            <w:tcW w:type="dxa" w:w="3744"/>
            <w:shd w:fill="F4F7F9"/>
            <w:tcMar>
              <w:top w:w="80" w:type="dxa"/>
              <w:start w:w="90" w:type="dxa"/>
              <w:bottom w:w="80" w:type="dxa"/>
              <w:end w:w="90" w:type="dxa"/>
            </w:tcMar>
            <w:vAlign w:val="top"/>
          </w:tcPr>
          <w:p>
            <w:pPr>
              <w:spacing w:after="0"/>
            </w:pPr>
            <w:r>
              <w:rPr>
                <w:color w:val="1F2933"/>
                <w:sz w:val="16"/>
              </w:rPr>
              <w:t>Nominal vs observed interval coverage and width</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E7</w:t>
            </w:r>
          </w:p>
        </w:tc>
        <w:tc>
          <w:tcPr>
            <w:tcW w:type="dxa" w:w="5112"/>
            <w:shd w:fill="FFFFFF"/>
            <w:tcMar>
              <w:top w:w="80" w:type="dxa"/>
              <w:start w:w="90" w:type="dxa"/>
              <w:bottom w:w="80" w:type="dxa"/>
              <w:end w:w="90" w:type="dxa"/>
            </w:tcMar>
            <w:vAlign w:val="top"/>
          </w:tcPr>
          <w:p>
            <w:pPr>
              <w:spacing w:after="0"/>
            </w:pPr>
            <w:r>
              <w:rPr>
                <w:color w:val="1F2933"/>
                <w:sz w:val="16"/>
              </w:rPr>
              <w:t>CQR under cross-lot shift</w:t>
            </w:r>
          </w:p>
        </w:tc>
        <w:tc>
          <w:tcPr>
            <w:tcW w:type="dxa" w:w="3744"/>
            <w:shd w:fill="FFFFFF"/>
            <w:tcMar>
              <w:top w:w="80" w:type="dxa"/>
              <w:start w:w="90" w:type="dxa"/>
              <w:bottom w:w="80" w:type="dxa"/>
              <w:end w:w="90" w:type="dxa"/>
            </w:tcMar>
            <w:vAlign w:val="top"/>
          </w:tcPr>
          <w:p>
            <w:pPr>
              <w:spacing w:after="0"/>
            </w:pPr>
            <w:r>
              <w:rPr>
                <w:color w:val="1F2933"/>
                <w:sz w:val="16"/>
              </w:rPr>
              <w:t>Coverage degradation curve; width and FNR trade-offs</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E8</w:t>
            </w:r>
          </w:p>
        </w:tc>
        <w:tc>
          <w:tcPr>
            <w:tcW w:type="dxa" w:w="5112"/>
            <w:shd w:fill="F4F7F9"/>
            <w:tcMar>
              <w:top w:w="80" w:type="dxa"/>
              <w:start w:w="90" w:type="dxa"/>
              <w:bottom w:w="80" w:type="dxa"/>
              <w:end w:w="90" w:type="dxa"/>
            </w:tcMar>
            <w:vAlign w:val="top"/>
          </w:tcPr>
          <w:p>
            <w:pPr>
              <w:spacing w:after="0"/>
            </w:pPr>
            <w:r>
              <w:rPr>
                <w:color w:val="1F2933"/>
                <w:sz w:val="16"/>
              </w:rPr>
              <w:t>Split Conformal anomaly prediction sets under cross-lot shift</w:t>
            </w:r>
          </w:p>
        </w:tc>
        <w:tc>
          <w:tcPr>
            <w:tcW w:type="dxa" w:w="3744"/>
            <w:shd w:fill="F4F7F9"/>
            <w:tcMar>
              <w:top w:w="80" w:type="dxa"/>
              <w:start w:w="90" w:type="dxa"/>
              <w:bottom w:w="80" w:type="dxa"/>
              <w:end w:w="90" w:type="dxa"/>
            </w:tcMar>
            <w:vAlign w:val="top"/>
          </w:tcPr>
          <w:p>
            <w:pPr>
              <w:spacing w:after="0"/>
            </w:pPr>
            <w:r>
              <w:rPr>
                <w:color w:val="1F2933"/>
                <w:sz w:val="16"/>
              </w:rPr>
              <w:t>Ambiguity rate, error rate, selective screening risk</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E9</w:t>
            </w:r>
          </w:p>
        </w:tc>
        <w:tc>
          <w:tcPr>
            <w:tcW w:type="dxa" w:w="5112"/>
            <w:shd w:fill="FFFFFF"/>
            <w:tcMar>
              <w:top w:w="80" w:type="dxa"/>
              <w:start w:w="90" w:type="dxa"/>
              <w:bottom w:w="80" w:type="dxa"/>
              <w:end w:w="90" w:type="dxa"/>
            </w:tcMar>
            <w:vAlign w:val="top"/>
          </w:tcPr>
          <w:p>
            <w:pPr>
              <w:spacing w:after="0"/>
            </w:pPr>
            <w:r>
              <w:rPr>
                <w:color w:val="1F2933"/>
                <w:sz w:val="16"/>
              </w:rPr>
              <w:t>No shift gate vs shift-aware review / recalibration</w:t>
            </w:r>
          </w:p>
        </w:tc>
        <w:tc>
          <w:tcPr>
            <w:tcW w:type="dxa" w:w="3744"/>
            <w:shd w:fill="FFFFFF"/>
            <w:tcMar>
              <w:top w:w="80" w:type="dxa"/>
              <w:start w:w="90" w:type="dxa"/>
              <w:bottom w:w="80" w:type="dxa"/>
              <w:end w:w="90" w:type="dxa"/>
            </w:tcMar>
            <w:vAlign w:val="top"/>
          </w:tcPr>
          <w:p>
            <w:pPr>
              <w:spacing w:after="0"/>
            </w:pPr>
            <w:r>
              <w:rPr>
                <w:color w:val="1F2933"/>
                <w:sz w:val="16"/>
              </w:rPr>
              <w:t>Unsafe overconfidence and review burden</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E10</w:t>
            </w:r>
          </w:p>
        </w:tc>
        <w:tc>
          <w:tcPr>
            <w:tcW w:type="dxa" w:w="5112"/>
            <w:shd w:fill="F4F7F9"/>
            <w:tcMar>
              <w:top w:w="80" w:type="dxa"/>
              <w:start w:w="90" w:type="dxa"/>
              <w:bottom w:w="80" w:type="dxa"/>
              <w:end w:w="90" w:type="dxa"/>
            </w:tcMar>
            <w:vAlign w:val="top"/>
          </w:tcPr>
          <w:p>
            <w:pPr>
              <w:spacing w:after="0"/>
            </w:pPr>
            <w:r>
              <w:rPr>
                <w:color w:val="1F2933"/>
                <w:sz w:val="16"/>
              </w:rPr>
              <w:t>Mechanism/parameter holdout</w:t>
            </w:r>
          </w:p>
        </w:tc>
        <w:tc>
          <w:tcPr>
            <w:tcW w:type="dxa" w:w="3744"/>
            <w:shd w:fill="F4F7F9"/>
            <w:tcMar>
              <w:top w:w="80" w:type="dxa"/>
              <w:start w:w="90" w:type="dxa"/>
              <w:bottom w:w="80" w:type="dxa"/>
              <w:end w:w="90" w:type="dxa"/>
            </w:tcMar>
            <w:vAlign w:val="top"/>
          </w:tcPr>
          <w:p>
            <w:pPr>
              <w:spacing w:after="0"/>
            </w:pPr>
            <w:r>
              <w:rPr>
                <w:color w:val="1F2933"/>
                <w:sz w:val="16"/>
              </w:rPr>
              <w:t>Shortcut resistance and generator generalization</w:t>
            </w:r>
          </w:p>
        </w:tc>
      </w:tr>
      <w:tr>
        <w:trPr>
          <w:cantSplit/>
        </w:trPr>
        <w:tc>
          <w:tcPr>
            <w:tcW w:type="dxa" w:w="792"/>
            <w:shd w:fill="FFFFFF"/>
            <w:tcMar>
              <w:top w:w="80" w:type="dxa"/>
              <w:start w:w="90" w:type="dxa"/>
              <w:bottom w:w="80" w:type="dxa"/>
              <w:end w:w="90" w:type="dxa"/>
            </w:tcMar>
            <w:vAlign w:val="top"/>
          </w:tcPr>
          <w:p>
            <w:pPr>
              <w:spacing w:after="0"/>
            </w:pPr>
            <w:r>
              <w:rPr>
                <w:color w:val="1F2933"/>
                <w:sz w:val="16"/>
              </w:rPr>
              <w:t>E11</w:t>
            </w:r>
          </w:p>
        </w:tc>
        <w:tc>
          <w:tcPr>
            <w:tcW w:type="dxa" w:w="5112"/>
            <w:shd w:fill="FFFFFF"/>
            <w:tcMar>
              <w:top w:w="80" w:type="dxa"/>
              <w:start w:w="90" w:type="dxa"/>
              <w:bottom w:w="80" w:type="dxa"/>
              <w:end w:w="90" w:type="dxa"/>
            </w:tcMar>
            <w:vAlign w:val="top"/>
          </w:tcPr>
          <w:p>
            <w:pPr>
              <w:spacing w:after="0"/>
            </w:pPr>
            <w:r>
              <w:rPr>
                <w:color w:val="1F2933"/>
                <w:sz w:val="16"/>
              </w:rPr>
              <w:t>Missingness and contamination stress</w:t>
            </w:r>
          </w:p>
        </w:tc>
        <w:tc>
          <w:tcPr>
            <w:tcW w:type="dxa" w:w="3744"/>
            <w:shd w:fill="FFFFFF"/>
            <w:tcMar>
              <w:top w:w="80" w:type="dxa"/>
              <w:start w:w="90" w:type="dxa"/>
              <w:bottom w:w="80" w:type="dxa"/>
              <w:end w:w="90" w:type="dxa"/>
            </w:tcMar>
            <w:vAlign w:val="top"/>
          </w:tcPr>
          <w:p>
            <w:pPr>
              <w:spacing w:after="0"/>
            </w:pPr>
            <w:r>
              <w:rPr>
                <w:color w:val="1F2933"/>
                <w:sz w:val="16"/>
              </w:rPr>
              <w:t>Graceful degradation</w:t>
            </w:r>
          </w:p>
        </w:tc>
      </w:tr>
      <w:tr>
        <w:trPr>
          <w:cantSplit/>
        </w:trPr>
        <w:tc>
          <w:tcPr>
            <w:tcW w:type="dxa" w:w="792"/>
            <w:shd w:fill="F4F7F9"/>
            <w:tcMar>
              <w:top w:w="80" w:type="dxa"/>
              <w:start w:w="90" w:type="dxa"/>
              <w:bottom w:w="80" w:type="dxa"/>
              <w:end w:w="90" w:type="dxa"/>
            </w:tcMar>
            <w:vAlign w:val="top"/>
          </w:tcPr>
          <w:p>
            <w:pPr>
              <w:spacing w:after="0"/>
            </w:pPr>
            <w:r>
              <w:rPr>
                <w:color w:val="1F2933"/>
                <w:sz w:val="16"/>
              </w:rPr>
              <w:t>E12</w:t>
            </w:r>
          </w:p>
        </w:tc>
        <w:tc>
          <w:tcPr>
            <w:tcW w:type="dxa" w:w="5112"/>
            <w:shd w:fill="F4F7F9"/>
            <w:tcMar>
              <w:top w:w="80" w:type="dxa"/>
              <w:start w:w="90" w:type="dxa"/>
              <w:bottom w:w="80" w:type="dxa"/>
              <w:end w:w="90" w:type="dxa"/>
            </w:tcMar>
            <w:vAlign w:val="top"/>
          </w:tcPr>
          <w:p>
            <w:pPr>
              <w:spacing w:after="0"/>
            </w:pPr>
            <w:r>
              <w:rPr>
                <w:color w:val="1F2933"/>
                <w:sz w:val="16"/>
              </w:rPr>
              <w:t>Supporting explanation layer</w:t>
            </w:r>
          </w:p>
        </w:tc>
        <w:tc>
          <w:tcPr>
            <w:tcW w:type="dxa" w:w="3744"/>
            <w:shd w:fill="F4F7F9"/>
            <w:tcMar>
              <w:top w:w="80" w:type="dxa"/>
              <w:start w:w="90" w:type="dxa"/>
              <w:bottom w:w="80" w:type="dxa"/>
              <w:end w:w="90" w:type="dxa"/>
            </w:tcMar>
            <w:vAlign w:val="top"/>
          </w:tcPr>
          <w:p>
            <w:pPr>
              <w:spacing w:after="0"/>
            </w:pPr>
            <w:r>
              <w:rPr>
                <w:color w:val="1F2933"/>
                <w:sz w:val="16"/>
              </w:rPr>
              <w:t>Faithfulness and QA utility without decision changes</w:t>
            </w:r>
          </w:p>
        </w:tc>
      </w:tr>
    </w:tbl>
    <w:p>
      <w:pPr>
        <w:spacing w:after="40"/>
      </w:pPr>
    </w:p>
    <w:p>
      <w:pPr>
        <w:pStyle w:val="Heading2"/>
        <w:keepNext/>
      </w:pPr>
      <w:r>
        <w:t>14.2 Leakage-safe early-warning evaluation</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At 24h:</w:t>
              <w:br/>
              <w:t xml:space="preserve">  visible -&gt; 0h + 24h observations, lot context known by then</w:t>
              <w:br/>
              <w:t xml:space="preserve">  hidden  -&gt; 96h + 168h measurements</w:t>
              <w:br/>
              <w:br/>
              <w:t>At 96h:</w:t>
              <w:br/>
              <w:t xml:space="preserve">  visible -&gt; 0h + 24h + 96h</w:t>
              <w:br/>
              <w:t xml:space="preserve">  hidden  -&gt; 168h measurement</w:t>
              <w:br/>
              <w:br/>
              <w:t>At 168h:</w:t>
              <w:br/>
              <w:t xml:space="preserve">  reveal actual outcome only for evaluation / retrospective analysis</w:t>
            </w:r>
          </w:p>
        </w:tc>
      </w:tr>
    </w:tbl>
    <w:p>
      <w:pPr>
        <w:pStyle w:val="Heading2"/>
        <w:keepNext/>
      </w:pPr>
      <w:r>
        <w:t>14.3 Cross-lot conformal experiment protocol</w:t>
      </w:r>
    </w:p>
    <w:p>
      <w:pPr>
        <w:pStyle w:val="ListNumber"/>
        <w:spacing w:after="40"/>
      </w:pPr>
      <w:r>
        <w:t>Fit the base forecast and anomaly models on training lots only.</w:t>
      </w:r>
    </w:p>
    <w:p>
      <w:pPr>
        <w:pStyle w:val="ListNumber"/>
        <w:spacing w:after="40"/>
      </w:pPr>
      <w:r>
        <w:t>Freeze a calibration set of distinct calibration lots; fit conformal nonconformity scores there.</w:t>
      </w:r>
    </w:p>
    <w:p>
      <w:pPr>
        <w:pStyle w:val="ListNumber"/>
        <w:spacing w:after="40"/>
      </w:pPr>
      <w:r>
        <w:t>Evaluate nominal coverage and prediction-set behaviour on held-out lots drawn from the calibration regime.</w:t>
      </w:r>
    </w:p>
    <w:p>
      <w:pPr>
        <w:pStyle w:val="ListNumber"/>
        <w:spacing w:after="40"/>
      </w:pPr>
      <w:r>
        <w:t>Generate new held-out lots by changing one declared shift factor at a time, then combinations.</w:t>
      </w:r>
    </w:p>
    <w:p>
      <w:pPr>
        <w:pStyle w:val="ListNumber"/>
        <w:spacing w:after="40"/>
      </w:pPr>
      <w:r>
        <w:t>Plot observed coverage, coverage error, interval width, prediction-set size, FNR, and REVIEW rate against shift magnitude.</w:t>
      </w:r>
    </w:p>
    <w:p>
      <w:pPr>
        <w:pStyle w:val="ListNumber"/>
        <w:spacing w:after="40"/>
      </w:pPr>
      <w:r>
        <w:t>Repeat with multiple random seeds and hidden benchmark configurations.</w:t>
      </w:r>
    </w:p>
    <w:p>
      <w:pPr>
        <w:pStyle w:val="Heading2"/>
        <w:keepNext/>
      </w:pPr>
      <w:r>
        <w:t>14.4 Unseen-lot protocol</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Leave-one-lot-out:</w:t>
              <w:br/>
              <w:t xml:space="preserve">  Train: Lot A + Lot B + Lot C</w:t>
              <w:br/>
              <w:t xml:space="preserve">  Calib: separate calibration lots / held-out subset</w:t>
              <w:br/>
              <w:t xml:space="preserve">  Test : Lot D</w:t>
              <w:br/>
              <w:br/>
              <w:t>Repeat until every eligible lot has served as a held-out test lot.</w:t>
              <w:br/>
              <w:t>Report per-lot results and aggregate mean with dispersion.</w:t>
            </w:r>
          </w:p>
        </w:tc>
      </w:tr>
    </w:tbl>
    <w:p>
      <w:pPr>
        <w:pStyle w:val="Heading2"/>
        <w:keepNext/>
      </w:pPr>
      <w:r>
        <w:t>14.5 Proxy-data validation</w:t>
      </w:r>
    </w:p>
    <w:p>
      <w:pPr>
        <w:spacing w:after="100" w:line="254" w:lineRule="auto"/>
      </w:pPr>
      <w:r>
        <w:t>SECOM is a semiconductor manufacturing anomaly proxy, not a burn-in ground-truth dataset. NASA IGBT accelerated-aging and MOSFET thermal-overstress data are degradation/time-series proxies, not the exact SIH 26170 staged protocol. [R11][R12] The paper should use these datasets to test whether the software pipeline transfers beyond the synthetic benchmark, while keeping the benchmark as the only source with exact mechanism-level ground truth.</w:t>
      </w:r>
    </w:p>
    <w:p>
      <w:pPr>
        <w:pStyle w:val="Heading1"/>
        <w:keepNext/>
      </w:pPr>
      <w:r>
        <w:t>15. Ablation, Stress-Test, and Statistical Protocol</w:t>
      </w:r>
    </w:p>
    <w:p>
      <w:pPr>
        <w:pStyle w:val="Heading2"/>
        <w:keepNext/>
      </w:pPr>
      <w:r>
        <w:t>15.1 Ablation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83A5A"/>
            <w:tcMar>
              <w:top w:w="80" w:type="dxa"/>
              <w:start w:w="90" w:type="dxa"/>
              <w:bottom w:w="80" w:type="dxa"/>
              <w:end w:w="90" w:type="dxa"/>
            </w:tcMar>
            <w:vAlign w:val="center"/>
          </w:tcPr>
          <w:p>
            <w:pPr>
              <w:jc w:val="left"/>
            </w:pPr>
            <w:r>
              <w:rPr>
                <w:b/>
                <w:color w:val="FFFFFF"/>
                <w:sz w:val="16"/>
              </w:rPr>
              <w:t>Ablation</w:t>
            </w:r>
          </w:p>
        </w:tc>
        <w:tc>
          <w:tcPr>
            <w:tcW w:type="dxa" w:w="3744"/>
            <w:shd w:fill="183A5A"/>
            <w:tcMar>
              <w:top w:w="80" w:type="dxa"/>
              <w:start w:w="90" w:type="dxa"/>
              <w:bottom w:w="80" w:type="dxa"/>
              <w:end w:w="90" w:type="dxa"/>
            </w:tcMar>
            <w:vAlign w:val="center"/>
          </w:tcPr>
          <w:p>
            <w:pPr>
              <w:jc w:val="left"/>
            </w:pPr>
            <w:r>
              <w:rPr>
                <w:b/>
                <w:color w:val="FFFFFF"/>
                <w:sz w:val="16"/>
              </w:rPr>
              <w:t>Removed component</w:t>
            </w:r>
          </w:p>
        </w:tc>
        <w:tc>
          <w:tcPr>
            <w:tcW w:type="dxa" w:w="4896"/>
            <w:shd w:fill="183A5A"/>
            <w:tcMar>
              <w:top w:w="80" w:type="dxa"/>
              <w:start w:w="90" w:type="dxa"/>
              <w:bottom w:w="80" w:type="dxa"/>
              <w:end w:w="90" w:type="dxa"/>
            </w:tcMar>
            <w:vAlign w:val="center"/>
          </w:tcPr>
          <w:p>
            <w:pPr>
              <w:jc w:val="left"/>
            </w:pPr>
            <w:r>
              <w:rPr>
                <w:b/>
                <w:color w:val="FFFFFF"/>
                <w:sz w:val="16"/>
              </w:rPr>
              <w:t>Interpretation</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A0</w:t>
            </w:r>
          </w:p>
        </w:tc>
        <w:tc>
          <w:tcPr>
            <w:tcW w:type="dxa" w:w="3744"/>
            <w:shd w:fill="FFFFFF"/>
            <w:tcMar>
              <w:top w:w="80" w:type="dxa"/>
              <w:start w:w="90" w:type="dxa"/>
              <w:bottom w:w="80" w:type="dxa"/>
              <w:end w:w="90" w:type="dxa"/>
            </w:tcMar>
            <w:vAlign w:val="top"/>
          </w:tcPr>
          <w:p>
            <w:pPr>
              <w:spacing w:after="0"/>
            </w:pPr>
            <w:r>
              <w:rPr>
                <w:color w:val="1F2933"/>
                <w:sz w:val="16"/>
              </w:rPr>
              <w:t>Absolute spec information</w:t>
            </w:r>
          </w:p>
        </w:tc>
        <w:tc>
          <w:tcPr>
            <w:tcW w:type="dxa" w:w="4896"/>
            <w:shd w:fill="FFFFFF"/>
            <w:tcMar>
              <w:top w:w="80" w:type="dxa"/>
              <w:start w:w="90" w:type="dxa"/>
              <w:bottom w:w="80" w:type="dxa"/>
              <w:end w:w="90" w:type="dxa"/>
            </w:tcMar>
            <w:vAlign w:val="top"/>
          </w:tcPr>
          <w:p>
            <w:pPr>
              <w:spacing w:after="0"/>
            </w:pPr>
            <w:r>
              <w:rPr>
                <w:color w:val="1F2933"/>
                <w:sz w:val="16"/>
              </w:rPr>
              <w:t>Does peer-relative behaviour add information beyond hard specifications?</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A1</w:t>
            </w:r>
          </w:p>
        </w:tc>
        <w:tc>
          <w:tcPr>
            <w:tcW w:type="dxa" w:w="3744"/>
            <w:shd w:fill="F4F7F9"/>
            <w:tcMar>
              <w:top w:w="80" w:type="dxa"/>
              <w:start w:w="90" w:type="dxa"/>
              <w:bottom w:w="80" w:type="dxa"/>
              <w:end w:w="90" w:type="dxa"/>
            </w:tcMar>
            <w:vAlign w:val="top"/>
          </w:tcPr>
          <w:p>
            <w:pPr>
              <w:spacing w:after="0"/>
            </w:pPr>
            <w:r>
              <w:rPr>
                <w:color w:val="1F2933"/>
                <w:sz w:val="16"/>
              </w:rPr>
              <w:t>Lot-relative residual view</w:t>
            </w:r>
          </w:p>
        </w:tc>
        <w:tc>
          <w:tcPr>
            <w:tcW w:type="dxa" w:w="4896"/>
            <w:shd w:fill="F4F7F9"/>
            <w:tcMar>
              <w:top w:w="80" w:type="dxa"/>
              <w:start w:w="90" w:type="dxa"/>
              <w:bottom w:w="80" w:type="dxa"/>
              <w:end w:w="90" w:type="dxa"/>
            </w:tcMar>
            <w:vAlign w:val="top"/>
          </w:tcPr>
          <w:p>
            <w:pPr>
              <w:spacing w:after="0"/>
            </w:pPr>
            <w:r>
              <w:rPr>
                <w:color w:val="1F2933"/>
                <w:sz w:val="16"/>
              </w:rPr>
              <w:t>Does explicit peer context matter?</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A2</w:t>
            </w:r>
          </w:p>
        </w:tc>
        <w:tc>
          <w:tcPr>
            <w:tcW w:type="dxa" w:w="3744"/>
            <w:shd w:fill="FFFFFF"/>
            <w:tcMar>
              <w:top w:w="80" w:type="dxa"/>
              <w:start w:w="90" w:type="dxa"/>
              <w:bottom w:w="80" w:type="dxa"/>
              <w:end w:w="90" w:type="dxa"/>
            </w:tcMar>
            <w:vAlign w:val="top"/>
          </w:tcPr>
          <w:p>
            <w:pPr>
              <w:spacing w:after="0"/>
            </w:pPr>
            <w:r>
              <w:rPr>
                <w:color w:val="1F2933"/>
                <w:sz w:val="16"/>
              </w:rPr>
              <w:t>Self-supervised pretraining</w:t>
            </w:r>
          </w:p>
        </w:tc>
        <w:tc>
          <w:tcPr>
            <w:tcW w:type="dxa" w:w="4896"/>
            <w:shd w:fill="FFFFFF"/>
            <w:tcMar>
              <w:top w:w="80" w:type="dxa"/>
              <w:start w:w="90" w:type="dxa"/>
              <w:bottom w:w="80" w:type="dxa"/>
              <w:end w:w="90" w:type="dxa"/>
            </w:tcMar>
            <w:vAlign w:val="top"/>
          </w:tcPr>
          <w:p>
            <w:pPr>
              <w:spacing w:after="0"/>
            </w:pPr>
            <w:r>
              <w:rPr>
                <w:color w:val="1F2933"/>
                <w:sz w:val="16"/>
              </w:rPr>
              <w:t>Does unlabeled learning help at low label budgets?</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A3</w:t>
            </w:r>
          </w:p>
        </w:tc>
        <w:tc>
          <w:tcPr>
            <w:tcW w:type="dxa" w:w="3744"/>
            <w:shd w:fill="F4F7F9"/>
            <w:tcMar>
              <w:top w:w="80" w:type="dxa"/>
              <w:start w:w="90" w:type="dxa"/>
              <w:bottom w:w="80" w:type="dxa"/>
              <w:end w:w="90" w:type="dxa"/>
            </w:tcMar>
            <w:vAlign w:val="top"/>
          </w:tcPr>
          <w:p>
            <w:pPr>
              <w:spacing w:after="0"/>
            </w:pPr>
            <w:r>
              <w:rPr>
                <w:color w:val="1F2933"/>
                <w:sz w:val="16"/>
              </w:rPr>
              <w:t>Temporal encoder</w:t>
            </w:r>
          </w:p>
        </w:tc>
        <w:tc>
          <w:tcPr>
            <w:tcW w:type="dxa" w:w="4896"/>
            <w:shd w:fill="F4F7F9"/>
            <w:tcMar>
              <w:top w:w="80" w:type="dxa"/>
              <w:start w:w="90" w:type="dxa"/>
              <w:bottom w:w="80" w:type="dxa"/>
              <w:end w:w="90" w:type="dxa"/>
            </w:tcMar>
            <w:vAlign w:val="top"/>
          </w:tcPr>
          <w:p>
            <w:pPr>
              <w:spacing w:after="0"/>
            </w:pPr>
            <w:r>
              <w:rPr>
                <w:color w:val="1F2933"/>
                <w:sz w:val="16"/>
              </w:rPr>
              <w:t>Does trajectory structure outperform point features?</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A4</w:t>
            </w:r>
          </w:p>
        </w:tc>
        <w:tc>
          <w:tcPr>
            <w:tcW w:type="dxa" w:w="3744"/>
            <w:shd w:fill="FFFFFF"/>
            <w:tcMar>
              <w:top w:w="80" w:type="dxa"/>
              <w:start w:w="90" w:type="dxa"/>
              <w:bottom w:w="80" w:type="dxa"/>
              <w:end w:w="90" w:type="dxa"/>
            </w:tcMar>
            <w:vAlign w:val="top"/>
          </w:tcPr>
          <w:p>
            <w:pPr>
              <w:spacing w:after="0"/>
            </w:pPr>
            <w:r>
              <w:rPr>
                <w:color w:val="1F2933"/>
                <w:sz w:val="16"/>
              </w:rPr>
              <w:t>Shift monitor</w:t>
            </w:r>
          </w:p>
        </w:tc>
        <w:tc>
          <w:tcPr>
            <w:tcW w:type="dxa" w:w="4896"/>
            <w:shd w:fill="FFFFFF"/>
            <w:tcMar>
              <w:top w:w="80" w:type="dxa"/>
              <w:start w:w="90" w:type="dxa"/>
              <w:bottom w:w="80" w:type="dxa"/>
              <w:end w:w="90" w:type="dxa"/>
            </w:tcMar>
            <w:vAlign w:val="top"/>
          </w:tcPr>
          <w:p>
            <w:pPr>
              <w:spacing w:after="0"/>
            </w:pPr>
            <w:r>
              <w:rPr>
                <w:color w:val="1F2933"/>
                <w:sz w:val="16"/>
              </w:rPr>
              <w:t>Does trust improve behaviour under shifted lots?</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A5</w:t>
            </w:r>
          </w:p>
        </w:tc>
        <w:tc>
          <w:tcPr>
            <w:tcW w:type="dxa" w:w="3744"/>
            <w:shd w:fill="F4F7F9"/>
            <w:tcMar>
              <w:top w:w="80" w:type="dxa"/>
              <w:start w:w="90" w:type="dxa"/>
              <w:bottom w:w="80" w:type="dxa"/>
              <w:end w:w="90" w:type="dxa"/>
            </w:tcMar>
            <w:vAlign w:val="top"/>
          </w:tcPr>
          <w:p>
            <w:pPr>
              <w:spacing w:after="0"/>
            </w:pPr>
            <w:r>
              <w:rPr>
                <w:color w:val="1F2933"/>
                <w:sz w:val="16"/>
              </w:rPr>
              <w:t>Conformal calibration</w:t>
            </w:r>
          </w:p>
        </w:tc>
        <w:tc>
          <w:tcPr>
            <w:tcW w:type="dxa" w:w="4896"/>
            <w:shd w:fill="F4F7F9"/>
            <w:tcMar>
              <w:top w:w="80" w:type="dxa"/>
              <w:start w:w="90" w:type="dxa"/>
              <w:bottom w:w="80" w:type="dxa"/>
              <w:end w:w="90" w:type="dxa"/>
            </w:tcMar>
            <w:vAlign w:val="top"/>
          </w:tcPr>
          <w:p>
            <w:pPr>
              <w:spacing w:after="0"/>
            </w:pPr>
            <w:r>
              <w:rPr>
                <w:color w:val="1F2933"/>
                <w:sz w:val="16"/>
              </w:rPr>
              <w:t>What happens to uncertainty / selective behaviour without conformal trust?</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A6</w:t>
            </w:r>
          </w:p>
        </w:tc>
        <w:tc>
          <w:tcPr>
            <w:tcW w:type="dxa" w:w="3744"/>
            <w:shd w:fill="FFFFFF"/>
            <w:tcMar>
              <w:top w:w="80" w:type="dxa"/>
              <w:start w:w="90" w:type="dxa"/>
              <w:bottom w:w="80" w:type="dxa"/>
              <w:end w:w="90" w:type="dxa"/>
            </w:tcMar>
            <w:vAlign w:val="top"/>
          </w:tcPr>
          <w:p>
            <w:pPr>
              <w:spacing w:after="0"/>
            </w:pPr>
            <w:r>
              <w:rPr>
                <w:color w:val="1F2933"/>
                <w:sz w:val="16"/>
              </w:rPr>
              <w:t>Selective REVIEW gate</w:t>
            </w:r>
          </w:p>
        </w:tc>
        <w:tc>
          <w:tcPr>
            <w:tcW w:type="dxa" w:w="4896"/>
            <w:shd w:fill="FFFFFF"/>
            <w:tcMar>
              <w:top w:w="80" w:type="dxa"/>
              <w:start w:w="90" w:type="dxa"/>
              <w:bottom w:w="80" w:type="dxa"/>
              <w:end w:w="90" w:type="dxa"/>
            </w:tcMar>
            <w:vAlign w:val="top"/>
          </w:tcPr>
          <w:p>
            <w:pPr>
              <w:spacing w:after="0"/>
            </w:pPr>
            <w:r>
              <w:rPr>
                <w:color w:val="1F2933"/>
                <w:sz w:val="16"/>
              </w:rPr>
              <w:t>Does abstention reduce unsafe false negatives?</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A7</w:t>
            </w:r>
          </w:p>
        </w:tc>
        <w:tc>
          <w:tcPr>
            <w:tcW w:type="dxa" w:w="3744"/>
            <w:shd w:fill="F4F7F9"/>
            <w:tcMar>
              <w:top w:w="80" w:type="dxa"/>
              <w:start w:w="90" w:type="dxa"/>
              <w:bottom w:w="80" w:type="dxa"/>
              <w:end w:w="90" w:type="dxa"/>
            </w:tcMar>
            <w:vAlign w:val="top"/>
          </w:tcPr>
          <w:p>
            <w:pPr>
              <w:spacing w:after="0"/>
            </w:pPr>
            <w:r>
              <w:rPr>
                <w:color w:val="1F2933"/>
                <w:sz w:val="16"/>
              </w:rPr>
              <w:t>Physics-informed benchmark priors</w:t>
            </w:r>
          </w:p>
        </w:tc>
        <w:tc>
          <w:tcPr>
            <w:tcW w:type="dxa" w:w="4896"/>
            <w:shd w:fill="F4F7F9"/>
            <w:tcMar>
              <w:top w:w="80" w:type="dxa"/>
              <w:start w:w="90" w:type="dxa"/>
              <w:bottom w:w="80" w:type="dxa"/>
              <w:end w:w="90" w:type="dxa"/>
            </w:tcMar>
            <w:vAlign w:val="top"/>
          </w:tcPr>
          <w:p>
            <w:pPr>
              <w:spacing w:after="0"/>
            </w:pPr>
            <w:r>
              <w:rPr>
                <w:color w:val="1F2933"/>
                <w:sz w:val="16"/>
              </w:rPr>
              <w:t>How much changes when generation is less structured / mechanism-blind?</w:t>
            </w:r>
          </w:p>
        </w:tc>
      </w:tr>
      <w:tr>
        <w:trPr>
          <w:cantSplit/>
        </w:trPr>
        <w:tc>
          <w:tcPr>
            <w:tcW w:type="dxa" w:w="864"/>
            <w:shd w:fill="FFFFFF"/>
            <w:tcMar>
              <w:top w:w="80" w:type="dxa"/>
              <w:start w:w="90" w:type="dxa"/>
              <w:bottom w:w="80" w:type="dxa"/>
              <w:end w:w="90" w:type="dxa"/>
            </w:tcMar>
            <w:vAlign w:val="top"/>
          </w:tcPr>
          <w:p>
            <w:pPr>
              <w:spacing w:after="0"/>
            </w:pPr>
            <w:r>
              <w:rPr>
                <w:color w:val="1F2933"/>
                <w:sz w:val="16"/>
              </w:rPr>
              <w:t>A8</w:t>
            </w:r>
          </w:p>
        </w:tc>
        <w:tc>
          <w:tcPr>
            <w:tcW w:type="dxa" w:w="3744"/>
            <w:shd w:fill="FFFFFF"/>
            <w:tcMar>
              <w:top w:w="80" w:type="dxa"/>
              <w:start w:w="90" w:type="dxa"/>
              <w:bottom w:w="80" w:type="dxa"/>
              <w:end w:w="90" w:type="dxa"/>
            </w:tcMar>
            <w:vAlign w:val="top"/>
          </w:tcPr>
          <w:p>
            <w:pPr>
              <w:spacing w:after="0"/>
            </w:pPr>
            <w:r>
              <w:rPr>
                <w:color w:val="1F2933"/>
                <w:sz w:val="16"/>
              </w:rPr>
              <w:t>Evidence verification</w:t>
            </w:r>
          </w:p>
        </w:tc>
        <w:tc>
          <w:tcPr>
            <w:tcW w:type="dxa" w:w="4896"/>
            <w:shd w:fill="FFFFFF"/>
            <w:tcMar>
              <w:top w:w="80" w:type="dxa"/>
              <w:start w:w="90" w:type="dxa"/>
              <w:bottom w:w="80" w:type="dxa"/>
              <w:end w:w="90" w:type="dxa"/>
            </w:tcMar>
            <w:vAlign w:val="top"/>
          </w:tcPr>
          <w:p>
            <w:pPr>
              <w:spacing w:after="0"/>
            </w:pPr>
            <w:r>
              <w:rPr>
                <w:color w:val="1F2933"/>
                <w:sz w:val="16"/>
              </w:rPr>
              <w:t>Does verified evidence reduce unsupported explanation claims?</w:t>
            </w:r>
          </w:p>
        </w:tc>
      </w:tr>
      <w:tr>
        <w:trPr>
          <w:cantSplit/>
        </w:trPr>
        <w:tc>
          <w:tcPr>
            <w:tcW w:type="dxa" w:w="864"/>
            <w:shd w:fill="F4F7F9"/>
            <w:tcMar>
              <w:top w:w="80" w:type="dxa"/>
              <w:start w:w="90" w:type="dxa"/>
              <w:bottom w:w="80" w:type="dxa"/>
              <w:end w:w="90" w:type="dxa"/>
            </w:tcMar>
            <w:vAlign w:val="top"/>
          </w:tcPr>
          <w:p>
            <w:pPr>
              <w:spacing w:after="0"/>
            </w:pPr>
            <w:r>
              <w:rPr>
                <w:color w:val="1F2933"/>
                <w:sz w:val="16"/>
              </w:rPr>
              <w:t>A9</w:t>
            </w:r>
          </w:p>
        </w:tc>
        <w:tc>
          <w:tcPr>
            <w:tcW w:type="dxa" w:w="3744"/>
            <w:shd w:fill="F4F7F9"/>
            <w:tcMar>
              <w:top w:w="80" w:type="dxa"/>
              <w:start w:w="90" w:type="dxa"/>
              <w:bottom w:w="80" w:type="dxa"/>
              <w:end w:w="90" w:type="dxa"/>
            </w:tcMar>
            <w:vAlign w:val="top"/>
          </w:tcPr>
          <w:p>
            <w:pPr>
              <w:spacing w:after="0"/>
            </w:pPr>
            <w:r>
              <w:rPr>
                <w:color w:val="1F2933"/>
                <w:sz w:val="16"/>
              </w:rPr>
              <w:t>Supporting LLM</w:t>
            </w:r>
          </w:p>
        </w:tc>
        <w:tc>
          <w:tcPr>
            <w:tcW w:type="dxa" w:w="4896"/>
            <w:shd w:fill="F4F7F9"/>
            <w:tcMar>
              <w:top w:w="80" w:type="dxa"/>
              <w:start w:w="90" w:type="dxa"/>
              <w:bottom w:w="80" w:type="dxa"/>
              <w:end w:w="90" w:type="dxa"/>
            </w:tcMar>
            <w:vAlign w:val="top"/>
          </w:tcPr>
          <w:p>
            <w:pPr>
              <w:spacing w:after="0"/>
            </w:pPr>
            <w:r>
              <w:rPr>
                <w:color w:val="1F2933"/>
                <w:sz w:val="16"/>
              </w:rPr>
              <w:t>Does natural-language support improve QA utility without changing disposition?</w:t>
            </w:r>
          </w:p>
        </w:tc>
      </w:tr>
    </w:tbl>
    <w:p>
      <w:pPr>
        <w:spacing w:after="40"/>
      </w:pPr>
    </w:p>
    <w:p>
      <w:pPr>
        <w:pStyle w:val="Heading2"/>
        <w:keepNext/>
      </w:pPr>
      <w:r>
        <w:t>15.2 Statistical rigor</w:t>
      </w:r>
    </w:p>
    <w:p>
      <w:pPr>
        <w:pStyle w:val="ListBullet"/>
        <w:spacing w:after="40"/>
        <w:ind w:left="317"/>
      </w:pPr>
      <w:r>
        <w:t>Use multiple random seeds for stochastic models and report mean + dispersion.</w:t>
      </w:r>
    </w:p>
    <w:p>
      <w:pPr>
        <w:pStyle w:val="ListBullet"/>
        <w:spacing w:after="40"/>
        <w:ind w:left="317"/>
      </w:pPr>
      <w:r>
        <w:t>Use lot-level bootstrap or other group-aware uncertainty estimates when inferential dependence is at the lot level.</w:t>
      </w:r>
    </w:p>
    <w:p>
      <w:pPr>
        <w:pStyle w:val="ListBullet"/>
        <w:spacing w:after="40"/>
        <w:ind w:left="317"/>
      </w:pPr>
      <w:r>
        <w:t>Report 95% confidence intervals for primary metrics.</w:t>
      </w:r>
    </w:p>
    <w:p>
      <w:pPr>
        <w:pStyle w:val="ListBullet"/>
        <w:spacing w:after="40"/>
        <w:ind w:left="317"/>
      </w:pPr>
      <w:r>
        <w:t>Freeze the hidden test generator configurations and final evaluation protocol before the final comparison.</w:t>
      </w:r>
    </w:p>
    <w:p>
      <w:pPr>
        <w:pStyle w:val="ListBullet"/>
        <w:spacing w:after="40"/>
        <w:ind w:left="317"/>
      </w:pPr>
      <w:r>
        <w:t>Use paired comparisons across the same held-out lots where appropriate and report effect sizes, not only p-values.</w:t>
      </w:r>
    </w:p>
    <w:p>
      <w:pPr>
        <w:pStyle w:val="ListBullet"/>
        <w:spacing w:after="40"/>
        <w:ind w:left="317"/>
      </w:pPr>
      <w:r>
        <w:t>Report compute budget, training time, parameter count, inference latency, and replay throughput.</w:t>
      </w:r>
    </w:p>
    <w:p>
      <w:pPr>
        <w:pStyle w:val="Heading2"/>
        <w:keepNext/>
      </w:pPr>
      <w:r>
        <w:t>15.3 Primary results table template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2232"/>
            <w:shd w:fill="183A5A"/>
            <w:tcMar>
              <w:top w:w="80" w:type="dxa"/>
              <w:start w:w="90" w:type="dxa"/>
              <w:bottom w:w="80" w:type="dxa"/>
              <w:end w:w="90" w:type="dxa"/>
            </w:tcMar>
            <w:vAlign w:val="center"/>
          </w:tcPr>
          <w:p>
            <w:pPr>
              <w:jc w:val="left"/>
            </w:pPr>
            <w:r>
              <w:rPr>
                <w:b/>
                <w:color w:val="FFFFFF"/>
                <w:sz w:val="14"/>
              </w:rPr>
              <w:t>Method</w:t>
            </w:r>
          </w:p>
        </w:tc>
        <w:tc>
          <w:tcPr>
            <w:tcW w:type="dxa" w:w="864"/>
            <w:shd w:fill="183A5A"/>
            <w:tcMar>
              <w:top w:w="80" w:type="dxa"/>
              <w:start w:w="90" w:type="dxa"/>
              <w:bottom w:w="80" w:type="dxa"/>
              <w:end w:w="90" w:type="dxa"/>
            </w:tcMar>
            <w:vAlign w:val="center"/>
          </w:tcPr>
          <w:p>
            <w:pPr>
              <w:jc w:val="left"/>
            </w:pPr>
            <w:r>
              <w:rPr>
                <w:b/>
                <w:color w:val="FFFFFF"/>
                <w:sz w:val="14"/>
              </w:rPr>
              <w:t>FNR</w:t>
            </w:r>
          </w:p>
        </w:tc>
        <w:tc>
          <w:tcPr>
            <w:tcW w:type="dxa" w:w="1080"/>
            <w:shd w:fill="183A5A"/>
            <w:tcMar>
              <w:top w:w="80" w:type="dxa"/>
              <w:start w:w="90" w:type="dxa"/>
              <w:bottom w:w="80" w:type="dxa"/>
              <w:end w:w="90" w:type="dxa"/>
            </w:tcMar>
            <w:vAlign w:val="center"/>
          </w:tcPr>
          <w:p>
            <w:pPr>
              <w:jc w:val="left"/>
            </w:pPr>
            <w:r>
              <w:rPr>
                <w:b/>
                <w:color w:val="FFFFFF"/>
                <w:sz w:val="14"/>
              </w:rPr>
              <w:t>PR-AUC</w:t>
            </w:r>
          </w:p>
        </w:tc>
        <w:tc>
          <w:tcPr>
            <w:tcW w:type="dxa" w:w="1152"/>
            <w:shd w:fill="183A5A"/>
            <w:tcMar>
              <w:top w:w="80" w:type="dxa"/>
              <w:start w:w="90" w:type="dxa"/>
              <w:bottom w:w="80" w:type="dxa"/>
              <w:end w:w="90" w:type="dxa"/>
            </w:tcMar>
            <w:vAlign w:val="center"/>
          </w:tcPr>
          <w:p>
            <w:pPr>
              <w:jc w:val="left"/>
            </w:pPr>
            <w:r>
              <w:rPr>
                <w:b/>
                <w:color w:val="FFFFFF"/>
                <w:sz w:val="14"/>
              </w:rPr>
              <w:t>168h MAE</w:t>
            </w:r>
          </w:p>
        </w:tc>
        <w:tc>
          <w:tcPr>
            <w:tcW w:type="dxa" w:w="1800"/>
            <w:shd w:fill="183A5A"/>
            <w:tcMar>
              <w:top w:w="80" w:type="dxa"/>
              <w:start w:w="90" w:type="dxa"/>
              <w:bottom w:w="80" w:type="dxa"/>
              <w:end w:w="90" w:type="dxa"/>
            </w:tcMar>
            <w:vAlign w:val="center"/>
          </w:tcPr>
          <w:p>
            <w:pPr>
              <w:jc w:val="left"/>
            </w:pPr>
            <w:r>
              <w:rPr>
                <w:b/>
                <w:color w:val="FFFFFF"/>
                <w:sz w:val="14"/>
              </w:rPr>
              <w:t>90% interval coverage</w:t>
            </w:r>
          </w:p>
        </w:tc>
        <w:tc>
          <w:tcPr>
            <w:tcW w:type="dxa" w:w="1152"/>
            <w:shd w:fill="183A5A"/>
            <w:tcMar>
              <w:top w:w="80" w:type="dxa"/>
              <w:start w:w="90" w:type="dxa"/>
              <w:bottom w:w="80" w:type="dxa"/>
              <w:end w:w="90" w:type="dxa"/>
            </w:tcMar>
            <w:vAlign w:val="center"/>
          </w:tcPr>
          <w:p>
            <w:pPr>
              <w:jc w:val="left"/>
            </w:pPr>
            <w:r>
              <w:rPr>
                <w:b/>
                <w:color w:val="FFFFFF"/>
                <w:sz w:val="14"/>
              </w:rPr>
              <w:t>Mean width</w:t>
            </w:r>
          </w:p>
        </w:tc>
        <w:tc>
          <w:tcPr>
            <w:tcW w:type="dxa" w:w="1368"/>
            <w:shd w:fill="183A5A"/>
            <w:tcMar>
              <w:top w:w="80" w:type="dxa"/>
              <w:start w:w="90" w:type="dxa"/>
              <w:bottom w:w="80" w:type="dxa"/>
              <w:end w:w="90" w:type="dxa"/>
            </w:tcMar>
            <w:vAlign w:val="center"/>
          </w:tcPr>
          <w:p>
            <w:pPr>
              <w:jc w:val="left"/>
            </w:pPr>
            <w:r>
              <w:rPr>
                <w:b/>
                <w:color w:val="FFFFFF"/>
                <w:sz w:val="14"/>
              </w:rPr>
              <w:t>Unseen-lot delta</w:t>
            </w:r>
          </w:p>
        </w:tc>
        <w:tc>
          <w:tcPr>
            <w:tcW w:type="dxa" w:w="1152"/>
            <w:shd w:fill="183A5A"/>
            <w:tcMar>
              <w:top w:w="80" w:type="dxa"/>
              <w:start w:w="90" w:type="dxa"/>
              <w:bottom w:w="80" w:type="dxa"/>
              <w:end w:w="90" w:type="dxa"/>
            </w:tcMar>
            <w:vAlign w:val="center"/>
          </w:tcPr>
          <w:p>
            <w:pPr>
              <w:jc w:val="left"/>
            </w:pPr>
            <w:r>
              <w:rPr>
                <w:b/>
                <w:color w:val="FFFFFF"/>
                <w:sz w:val="14"/>
              </w:rPr>
              <w:t>Review rate</w:t>
            </w:r>
          </w:p>
        </w:tc>
      </w:tr>
      <w:tr>
        <w:trPr>
          <w:cantSplit/>
        </w:trPr>
        <w:tc>
          <w:tcPr>
            <w:tcW w:type="dxa" w:w="2232"/>
            <w:shd w:fill="FFFFFF"/>
            <w:tcMar>
              <w:top w:w="80" w:type="dxa"/>
              <w:start w:w="90" w:type="dxa"/>
              <w:bottom w:w="80" w:type="dxa"/>
              <w:end w:w="90" w:type="dxa"/>
            </w:tcMar>
            <w:vAlign w:val="top"/>
          </w:tcPr>
          <w:p>
            <w:pPr>
              <w:spacing w:after="0"/>
            </w:pPr>
            <w:r>
              <w:rPr>
                <w:color w:val="1F2933"/>
                <w:sz w:val="14"/>
              </w:rPr>
              <w:t>Static threshold</w:t>
            </w:r>
          </w:p>
        </w:tc>
        <w:tc>
          <w:tcPr>
            <w:tcW w:type="dxa" w:w="864"/>
            <w:shd w:fill="FFFFFF"/>
            <w:tcMar>
              <w:top w:w="80" w:type="dxa"/>
              <w:start w:w="90" w:type="dxa"/>
              <w:bottom w:w="80" w:type="dxa"/>
              <w:end w:w="90" w:type="dxa"/>
            </w:tcMar>
            <w:vAlign w:val="top"/>
          </w:tcPr>
          <w:p>
            <w:pPr>
              <w:spacing w:after="0"/>
            </w:pPr>
            <w:r>
              <w:rPr>
                <w:color w:val="1F2933"/>
                <w:sz w:val="14"/>
              </w:rPr>
              <w:t>result</w:t>
            </w:r>
          </w:p>
        </w:tc>
        <w:tc>
          <w:tcPr>
            <w:tcW w:type="dxa" w:w="1080"/>
            <w:shd w:fill="FFFFFF"/>
            <w:tcMar>
              <w:top w:w="80" w:type="dxa"/>
              <w:start w:w="90" w:type="dxa"/>
              <w:bottom w:w="80" w:type="dxa"/>
              <w:end w:w="90" w:type="dxa"/>
            </w:tcMar>
            <w:vAlign w:val="top"/>
          </w:tcPr>
          <w:p>
            <w:pPr>
              <w:spacing w:after="0"/>
            </w:pPr>
            <w:r>
              <w:rPr>
                <w:color w:val="1F2933"/>
                <w:sz w:val="14"/>
              </w:rPr>
              <w:t>-</w:t>
            </w:r>
          </w:p>
        </w:tc>
        <w:tc>
          <w:tcPr>
            <w:tcW w:type="dxa" w:w="1152"/>
            <w:shd w:fill="FFFFFF"/>
            <w:tcMar>
              <w:top w:w="80" w:type="dxa"/>
              <w:start w:w="90" w:type="dxa"/>
              <w:bottom w:w="80" w:type="dxa"/>
              <w:end w:w="90" w:type="dxa"/>
            </w:tcMar>
            <w:vAlign w:val="top"/>
          </w:tcPr>
          <w:p>
            <w:pPr>
              <w:spacing w:after="0"/>
            </w:pPr>
            <w:r>
              <w:rPr>
                <w:color w:val="1F2933"/>
                <w:sz w:val="14"/>
              </w:rPr>
              <w:t>-</w:t>
            </w:r>
          </w:p>
        </w:tc>
        <w:tc>
          <w:tcPr>
            <w:tcW w:type="dxa" w:w="1800"/>
            <w:shd w:fill="FFFFFF"/>
            <w:tcMar>
              <w:top w:w="80" w:type="dxa"/>
              <w:start w:w="90" w:type="dxa"/>
              <w:bottom w:w="80" w:type="dxa"/>
              <w:end w:w="90" w:type="dxa"/>
            </w:tcMar>
            <w:vAlign w:val="top"/>
          </w:tcPr>
          <w:p>
            <w:pPr>
              <w:spacing w:after="0"/>
            </w:pPr>
            <w:r>
              <w:rPr>
                <w:color w:val="1F2933"/>
                <w:sz w:val="14"/>
              </w:rPr>
              <w:t>-</w:t>
            </w:r>
          </w:p>
        </w:tc>
        <w:tc>
          <w:tcPr>
            <w:tcW w:type="dxa" w:w="1152"/>
            <w:shd w:fill="FFFFFF"/>
            <w:tcMar>
              <w:top w:w="80" w:type="dxa"/>
              <w:start w:w="90" w:type="dxa"/>
              <w:bottom w:w="80" w:type="dxa"/>
              <w:end w:w="90" w:type="dxa"/>
            </w:tcMar>
            <w:vAlign w:val="top"/>
          </w:tcPr>
          <w:p>
            <w:pPr>
              <w:spacing w:after="0"/>
            </w:pPr>
            <w:r>
              <w:rPr>
                <w:color w:val="1F2933"/>
                <w:sz w:val="14"/>
              </w:rPr>
              <w:t>-</w:t>
            </w:r>
          </w:p>
        </w:tc>
        <w:tc>
          <w:tcPr>
            <w:tcW w:type="dxa" w:w="1368"/>
            <w:shd w:fill="FFFFFF"/>
            <w:tcMar>
              <w:top w:w="80" w:type="dxa"/>
              <w:start w:w="90" w:type="dxa"/>
              <w:bottom w:w="80" w:type="dxa"/>
              <w:end w:w="90" w:type="dxa"/>
            </w:tcMar>
            <w:vAlign w:val="top"/>
          </w:tcPr>
          <w:p>
            <w:pPr>
              <w:spacing w:after="0"/>
            </w:pPr>
            <w:r>
              <w:rPr>
                <w:color w:val="1F2933"/>
                <w:sz w:val="14"/>
              </w:rPr>
              <w:t>-</w:t>
            </w:r>
          </w:p>
        </w:tc>
        <w:tc>
          <w:tcPr>
            <w:tcW w:type="dxa" w:w="1152"/>
            <w:shd w:fill="FFFFFF"/>
            <w:tcMar>
              <w:top w:w="80" w:type="dxa"/>
              <w:start w:w="90" w:type="dxa"/>
              <w:bottom w:w="80" w:type="dxa"/>
              <w:end w:w="90" w:type="dxa"/>
            </w:tcMar>
            <w:vAlign w:val="top"/>
          </w:tcPr>
          <w:p>
            <w:pPr>
              <w:spacing w:after="0"/>
            </w:pPr>
            <w:r>
              <w:rPr>
                <w:color w:val="1F2933"/>
                <w:sz w:val="14"/>
              </w:rPr>
              <w:t>-</w:t>
            </w:r>
          </w:p>
        </w:tc>
      </w:tr>
      <w:tr>
        <w:trPr>
          <w:cantSplit/>
        </w:trPr>
        <w:tc>
          <w:tcPr>
            <w:tcW w:type="dxa" w:w="2232"/>
            <w:shd w:fill="F4F7F9"/>
            <w:tcMar>
              <w:top w:w="80" w:type="dxa"/>
              <w:start w:w="90" w:type="dxa"/>
              <w:bottom w:w="80" w:type="dxa"/>
              <w:end w:w="90" w:type="dxa"/>
            </w:tcMar>
            <w:vAlign w:val="top"/>
          </w:tcPr>
          <w:p>
            <w:pPr>
              <w:spacing w:after="0"/>
            </w:pPr>
            <w:r>
              <w:rPr>
                <w:color w:val="1F2933"/>
                <w:sz w:val="14"/>
              </w:rPr>
              <w:t>Lot statistics</w:t>
            </w:r>
          </w:p>
        </w:tc>
        <w:tc>
          <w:tcPr>
            <w:tcW w:type="dxa" w:w="864"/>
            <w:shd w:fill="F4F7F9"/>
            <w:tcMar>
              <w:top w:w="80" w:type="dxa"/>
              <w:start w:w="90" w:type="dxa"/>
              <w:bottom w:w="80" w:type="dxa"/>
              <w:end w:w="90" w:type="dxa"/>
            </w:tcMar>
            <w:vAlign w:val="top"/>
          </w:tcPr>
          <w:p>
            <w:pPr>
              <w:spacing w:after="0"/>
            </w:pPr>
            <w:r>
              <w:rPr>
                <w:color w:val="1F2933"/>
                <w:sz w:val="14"/>
              </w:rPr>
              <w:t>result</w:t>
            </w:r>
          </w:p>
        </w:tc>
        <w:tc>
          <w:tcPr>
            <w:tcW w:type="dxa" w:w="1080"/>
            <w:shd w:fill="F4F7F9"/>
            <w:tcMar>
              <w:top w:w="80" w:type="dxa"/>
              <w:start w:w="90" w:type="dxa"/>
              <w:bottom w:w="80" w:type="dxa"/>
              <w:end w:w="90" w:type="dxa"/>
            </w:tcMar>
            <w:vAlign w:val="top"/>
          </w:tcPr>
          <w:p>
            <w:pPr>
              <w:spacing w:after="0"/>
            </w:pPr>
            <w:r>
              <w:rPr>
                <w:color w:val="1F2933"/>
                <w:sz w:val="14"/>
              </w:rPr>
              <w:t>-</w:t>
            </w:r>
          </w:p>
        </w:tc>
        <w:tc>
          <w:tcPr>
            <w:tcW w:type="dxa" w:w="1152"/>
            <w:shd w:fill="F4F7F9"/>
            <w:tcMar>
              <w:top w:w="80" w:type="dxa"/>
              <w:start w:w="90" w:type="dxa"/>
              <w:bottom w:w="80" w:type="dxa"/>
              <w:end w:w="90" w:type="dxa"/>
            </w:tcMar>
            <w:vAlign w:val="top"/>
          </w:tcPr>
          <w:p>
            <w:pPr>
              <w:spacing w:after="0"/>
            </w:pPr>
            <w:r>
              <w:rPr>
                <w:color w:val="1F2933"/>
                <w:sz w:val="14"/>
              </w:rPr>
              <w:t>-</w:t>
            </w:r>
          </w:p>
        </w:tc>
        <w:tc>
          <w:tcPr>
            <w:tcW w:type="dxa" w:w="1800"/>
            <w:shd w:fill="F4F7F9"/>
            <w:tcMar>
              <w:top w:w="80" w:type="dxa"/>
              <w:start w:w="90" w:type="dxa"/>
              <w:bottom w:w="80" w:type="dxa"/>
              <w:end w:w="90" w:type="dxa"/>
            </w:tcMar>
            <w:vAlign w:val="top"/>
          </w:tcPr>
          <w:p>
            <w:pPr>
              <w:spacing w:after="0"/>
            </w:pPr>
            <w:r>
              <w:rPr>
                <w:color w:val="1F2933"/>
                <w:sz w:val="14"/>
              </w:rPr>
              <w:t>-</w:t>
            </w:r>
          </w:p>
        </w:tc>
        <w:tc>
          <w:tcPr>
            <w:tcW w:type="dxa" w:w="1152"/>
            <w:shd w:fill="F4F7F9"/>
            <w:tcMar>
              <w:top w:w="80" w:type="dxa"/>
              <w:start w:w="90" w:type="dxa"/>
              <w:bottom w:w="80" w:type="dxa"/>
              <w:end w:w="90" w:type="dxa"/>
            </w:tcMar>
            <w:vAlign w:val="top"/>
          </w:tcPr>
          <w:p>
            <w:pPr>
              <w:spacing w:after="0"/>
            </w:pPr>
            <w:r>
              <w:rPr>
                <w:color w:val="1F2933"/>
                <w:sz w:val="14"/>
              </w:rPr>
              <w:t>-</w:t>
            </w:r>
          </w:p>
        </w:tc>
        <w:tc>
          <w:tcPr>
            <w:tcW w:type="dxa" w:w="1368"/>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r>
      <w:tr>
        <w:trPr>
          <w:cantSplit/>
        </w:trPr>
        <w:tc>
          <w:tcPr>
            <w:tcW w:type="dxa" w:w="2232"/>
            <w:shd w:fill="FFFFFF"/>
            <w:tcMar>
              <w:top w:w="80" w:type="dxa"/>
              <w:start w:w="90" w:type="dxa"/>
              <w:bottom w:w="80" w:type="dxa"/>
              <w:end w:w="90" w:type="dxa"/>
            </w:tcMar>
            <w:vAlign w:val="top"/>
          </w:tcPr>
          <w:p>
            <w:pPr>
              <w:spacing w:after="0"/>
            </w:pPr>
            <w:r>
              <w:rPr>
                <w:color w:val="1F2933"/>
                <w:sz w:val="14"/>
              </w:rPr>
              <w:t>Isolation Forest</w:t>
            </w:r>
          </w:p>
        </w:tc>
        <w:tc>
          <w:tcPr>
            <w:tcW w:type="dxa" w:w="864"/>
            <w:shd w:fill="FFFFFF"/>
            <w:tcMar>
              <w:top w:w="80" w:type="dxa"/>
              <w:start w:w="90" w:type="dxa"/>
              <w:bottom w:w="80" w:type="dxa"/>
              <w:end w:w="90" w:type="dxa"/>
            </w:tcMar>
            <w:vAlign w:val="top"/>
          </w:tcPr>
          <w:p>
            <w:pPr>
              <w:spacing w:after="0"/>
            </w:pPr>
            <w:r>
              <w:rPr>
                <w:color w:val="1F2933"/>
                <w:sz w:val="14"/>
              </w:rPr>
              <w:t>result</w:t>
            </w:r>
          </w:p>
        </w:tc>
        <w:tc>
          <w:tcPr>
            <w:tcW w:type="dxa" w:w="1080"/>
            <w:shd w:fill="FFFFFF"/>
            <w:tcMar>
              <w:top w:w="80" w:type="dxa"/>
              <w:start w:w="90" w:type="dxa"/>
              <w:bottom w:w="80" w:type="dxa"/>
              <w:end w:w="90" w:type="dxa"/>
            </w:tcMar>
            <w:vAlign w:val="top"/>
          </w:tcPr>
          <w:p>
            <w:pPr>
              <w:spacing w:after="0"/>
            </w:pPr>
            <w:r>
              <w:rPr>
                <w:color w:val="1F2933"/>
                <w:sz w:val="14"/>
              </w:rPr>
              <w:t>result</w:t>
            </w:r>
          </w:p>
        </w:tc>
        <w:tc>
          <w:tcPr>
            <w:tcW w:type="dxa" w:w="1152"/>
            <w:shd w:fill="FFFFFF"/>
            <w:tcMar>
              <w:top w:w="80" w:type="dxa"/>
              <w:start w:w="90" w:type="dxa"/>
              <w:bottom w:w="80" w:type="dxa"/>
              <w:end w:w="90" w:type="dxa"/>
            </w:tcMar>
            <w:vAlign w:val="top"/>
          </w:tcPr>
          <w:p>
            <w:pPr>
              <w:spacing w:after="0"/>
            </w:pPr>
            <w:r>
              <w:rPr>
                <w:color w:val="1F2933"/>
                <w:sz w:val="14"/>
              </w:rPr>
              <w:t>-</w:t>
            </w:r>
          </w:p>
        </w:tc>
        <w:tc>
          <w:tcPr>
            <w:tcW w:type="dxa" w:w="1800"/>
            <w:shd w:fill="FFFFFF"/>
            <w:tcMar>
              <w:top w:w="80" w:type="dxa"/>
              <w:start w:w="90" w:type="dxa"/>
              <w:bottom w:w="80" w:type="dxa"/>
              <w:end w:w="90" w:type="dxa"/>
            </w:tcMar>
            <w:vAlign w:val="top"/>
          </w:tcPr>
          <w:p>
            <w:pPr>
              <w:spacing w:after="0"/>
            </w:pPr>
            <w:r>
              <w:rPr>
                <w:color w:val="1F2933"/>
                <w:sz w:val="14"/>
              </w:rPr>
              <w:t>-</w:t>
            </w:r>
          </w:p>
        </w:tc>
        <w:tc>
          <w:tcPr>
            <w:tcW w:type="dxa" w:w="1152"/>
            <w:shd w:fill="FFFFFF"/>
            <w:tcMar>
              <w:top w:w="80" w:type="dxa"/>
              <w:start w:w="90" w:type="dxa"/>
              <w:bottom w:w="80" w:type="dxa"/>
              <w:end w:w="90" w:type="dxa"/>
            </w:tcMar>
            <w:vAlign w:val="top"/>
          </w:tcPr>
          <w:p>
            <w:pPr>
              <w:spacing w:after="0"/>
            </w:pPr>
            <w:r>
              <w:rPr>
                <w:color w:val="1F2933"/>
                <w:sz w:val="14"/>
              </w:rPr>
              <w:t>-</w:t>
            </w:r>
          </w:p>
        </w:tc>
        <w:tc>
          <w:tcPr>
            <w:tcW w:type="dxa" w:w="1368"/>
            <w:shd w:fill="FFFFFF"/>
            <w:tcMar>
              <w:top w:w="80" w:type="dxa"/>
              <w:start w:w="90" w:type="dxa"/>
              <w:bottom w:w="80" w:type="dxa"/>
              <w:end w:w="90" w:type="dxa"/>
            </w:tcMar>
            <w:vAlign w:val="top"/>
          </w:tcPr>
          <w:p>
            <w:pPr>
              <w:spacing w:after="0"/>
            </w:pPr>
            <w:r>
              <w:rPr>
                <w:color w:val="1F2933"/>
                <w:sz w:val="14"/>
              </w:rPr>
              <w:t>result</w:t>
            </w:r>
          </w:p>
        </w:tc>
        <w:tc>
          <w:tcPr>
            <w:tcW w:type="dxa" w:w="1152"/>
            <w:shd w:fill="FFFFFF"/>
            <w:tcMar>
              <w:top w:w="80" w:type="dxa"/>
              <w:start w:w="90" w:type="dxa"/>
              <w:bottom w:w="80" w:type="dxa"/>
              <w:end w:w="90" w:type="dxa"/>
            </w:tcMar>
            <w:vAlign w:val="top"/>
          </w:tcPr>
          <w:p>
            <w:pPr>
              <w:spacing w:after="0"/>
            </w:pPr>
            <w:r>
              <w:rPr>
                <w:color w:val="1F2933"/>
                <w:sz w:val="14"/>
              </w:rPr>
              <w:t>result</w:t>
            </w:r>
          </w:p>
        </w:tc>
      </w:tr>
      <w:tr>
        <w:trPr>
          <w:cantSplit/>
        </w:trPr>
        <w:tc>
          <w:tcPr>
            <w:tcW w:type="dxa" w:w="2232"/>
            <w:shd w:fill="F4F7F9"/>
            <w:tcMar>
              <w:top w:w="80" w:type="dxa"/>
              <w:start w:w="90" w:type="dxa"/>
              <w:bottom w:w="80" w:type="dxa"/>
              <w:end w:w="90" w:type="dxa"/>
            </w:tcMar>
            <w:vAlign w:val="top"/>
          </w:tcPr>
          <w:p>
            <w:pPr>
              <w:spacing w:after="0"/>
            </w:pPr>
            <w:r>
              <w:rPr>
                <w:color w:val="1F2933"/>
                <w:sz w:val="14"/>
              </w:rPr>
              <w:t>XGBoost</w:t>
            </w:r>
          </w:p>
        </w:tc>
        <w:tc>
          <w:tcPr>
            <w:tcW w:type="dxa" w:w="864"/>
            <w:shd w:fill="F4F7F9"/>
            <w:tcMar>
              <w:top w:w="80" w:type="dxa"/>
              <w:start w:w="90" w:type="dxa"/>
              <w:bottom w:w="80" w:type="dxa"/>
              <w:end w:w="90" w:type="dxa"/>
            </w:tcMar>
            <w:vAlign w:val="top"/>
          </w:tcPr>
          <w:p>
            <w:pPr>
              <w:spacing w:after="0"/>
            </w:pPr>
            <w:r>
              <w:rPr>
                <w:color w:val="1F2933"/>
                <w:sz w:val="14"/>
              </w:rPr>
              <w:t>result</w:t>
            </w:r>
          </w:p>
        </w:tc>
        <w:tc>
          <w:tcPr>
            <w:tcW w:type="dxa" w:w="1080"/>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c>
          <w:tcPr>
            <w:tcW w:type="dxa" w:w="1800"/>
            <w:shd w:fill="F4F7F9"/>
            <w:tcMar>
              <w:top w:w="80" w:type="dxa"/>
              <w:start w:w="90" w:type="dxa"/>
              <w:bottom w:w="80" w:type="dxa"/>
              <w:end w:w="90" w:type="dxa"/>
            </w:tcMar>
            <w:vAlign w:val="top"/>
          </w:tcPr>
          <w:p>
            <w:pPr>
              <w:spacing w:after="0"/>
            </w:pPr>
            <w:r>
              <w:rPr>
                <w:color w:val="1F2933"/>
                <w:sz w:val="14"/>
              </w:rPr>
              <w:t>-</w:t>
            </w:r>
          </w:p>
        </w:tc>
        <w:tc>
          <w:tcPr>
            <w:tcW w:type="dxa" w:w="1152"/>
            <w:shd w:fill="F4F7F9"/>
            <w:tcMar>
              <w:top w:w="80" w:type="dxa"/>
              <w:start w:w="90" w:type="dxa"/>
              <w:bottom w:w="80" w:type="dxa"/>
              <w:end w:w="90" w:type="dxa"/>
            </w:tcMar>
            <w:vAlign w:val="top"/>
          </w:tcPr>
          <w:p>
            <w:pPr>
              <w:spacing w:after="0"/>
            </w:pPr>
            <w:r>
              <w:rPr>
                <w:color w:val="1F2933"/>
                <w:sz w:val="14"/>
              </w:rPr>
              <w:t>-</w:t>
            </w:r>
          </w:p>
        </w:tc>
        <w:tc>
          <w:tcPr>
            <w:tcW w:type="dxa" w:w="1368"/>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r>
      <w:tr>
        <w:trPr>
          <w:cantSplit/>
        </w:trPr>
        <w:tc>
          <w:tcPr>
            <w:tcW w:type="dxa" w:w="2232"/>
            <w:shd w:fill="FFFFFF"/>
            <w:tcMar>
              <w:top w:w="80" w:type="dxa"/>
              <w:start w:w="90" w:type="dxa"/>
              <w:bottom w:w="80" w:type="dxa"/>
              <w:end w:w="90" w:type="dxa"/>
            </w:tcMar>
            <w:vAlign w:val="top"/>
          </w:tcPr>
          <w:p>
            <w:pPr>
              <w:spacing w:after="0"/>
            </w:pPr>
            <w:r>
              <w:rPr>
                <w:color w:val="1F2933"/>
                <w:sz w:val="14"/>
              </w:rPr>
              <w:t>SSL + limited labels</w:t>
            </w:r>
          </w:p>
        </w:tc>
        <w:tc>
          <w:tcPr>
            <w:tcW w:type="dxa" w:w="864"/>
            <w:shd w:fill="FFFFFF"/>
            <w:tcMar>
              <w:top w:w="80" w:type="dxa"/>
              <w:start w:w="90" w:type="dxa"/>
              <w:bottom w:w="80" w:type="dxa"/>
              <w:end w:w="90" w:type="dxa"/>
            </w:tcMar>
            <w:vAlign w:val="top"/>
          </w:tcPr>
          <w:p>
            <w:pPr>
              <w:spacing w:after="0"/>
            </w:pPr>
            <w:r>
              <w:rPr>
                <w:color w:val="1F2933"/>
                <w:sz w:val="14"/>
              </w:rPr>
              <w:t>result</w:t>
            </w:r>
          </w:p>
        </w:tc>
        <w:tc>
          <w:tcPr>
            <w:tcW w:type="dxa" w:w="1080"/>
            <w:shd w:fill="FFFFFF"/>
            <w:tcMar>
              <w:top w:w="80" w:type="dxa"/>
              <w:start w:w="90" w:type="dxa"/>
              <w:bottom w:w="80" w:type="dxa"/>
              <w:end w:w="90" w:type="dxa"/>
            </w:tcMar>
            <w:vAlign w:val="top"/>
          </w:tcPr>
          <w:p>
            <w:pPr>
              <w:spacing w:after="0"/>
            </w:pPr>
            <w:r>
              <w:rPr>
                <w:color w:val="1F2933"/>
                <w:sz w:val="14"/>
              </w:rPr>
              <w:t>result</w:t>
            </w:r>
          </w:p>
        </w:tc>
        <w:tc>
          <w:tcPr>
            <w:tcW w:type="dxa" w:w="1152"/>
            <w:shd w:fill="FFFFFF"/>
            <w:tcMar>
              <w:top w:w="80" w:type="dxa"/>
              <w:start w:w="90" w:type="dxa"/>
              <w:bottom w:w="80" w:type="dxa"/>
              <w:end w:w="90" w:type="dxa"/>
            </w:tcMar>
            <w:vAlign w:val="top"/>
          </w:tcPr>
          <w:p>
            <w:pPr>
              <w:spacing w:after="0"/>
            </w:pPr>
            <w:r>
              <w:rPr>
                <w:color w:val="1F2933"/>
                <w:sz w:val="14"/>
              </w:rPr>
              <w:t>result</w:t>
            </w:r>
          </w:p>
        </w:tc>
        <w:tc>
          <w:tcPr>
            <w:tcW w:type="dxa" w:w="1800"/>
            <w:shd w:fill="FFFFFF"/>
            <w:tcMar>
              <w:top w:w="80" w:type="dxa"/>
              <w:start w:w="90" w:type="dxa"/>
              <w:bottom w:w="80" w:type="dxa"/>
              <w:end w:w="90" w:type="dxa"/>
            </w:tcMar>
            <w:vAlign w:val="top"/>
          </w:tcPr>
          <w:p>
            <w:pPr>
              <w:spacing w:after="0"/>
            </w:pPr>
            <w:r>
              <w:rPr>
                <w:color w:val="1F2933"/>
                <w:sz w:val="14"/>
              </w:rPr>
              <w:t>result</w:t>
            </w:r>
          </w:p>
        </w:tc>
        <w:tc>
          <w:tcPr>
            <w:tcW w:type="dxa" w:w="1152"/>
            <w:shd w:fill="FFFFFF"/>
            <w:tcMar>
              <w:top w:w="80" w:type="dxa"/>
              <w:start w:w="90" w:type="dxa"/>
              <w:bottom w:w="80" w:type="dxa"/>
              <w:end w:w="90" w:type="dxa"/>
            </w:tcMar>
            <w:vAlign w:val="top"/>
          </w:tcPr>
          <w:p>
            <w:pPr>
              <w:spacing w:after="0"/>
            </w:pPr>
            <w:r>
              <w:rPr>
                <w:color w:val="1F2933"/>
                <w:sz w:val="14"/>
              </w:rPr>
              <w:t>result</w:t>
            </w:r>
          </w:p>
        </w:tc>
        <w:tc>
          <w:tcPr>
            <w:tcW w:type="dxa" w:w="1368"/>
            <w:shd w:fill="FFFFFF"/>
            <w:tcMar>
              <w:top w:w="80" w:type="dxa"/>
              <w:start w:w="90" w:type="dxa"/>
              <w:bottom w:w="80" w:type="dxa"/>
              <w:end w:w="90" w:type="dxa"/>
            </w:tcMar>
            <w:vAlign w:val="top"/>
          </w:tcPr>
          <w:p>
            <w:pPr>
              <w:spacing w:after="0"/>
            </w:pPr>
            <w:r>
              <w:rPr>
                <w:color w:val="1F2933"/>
                <w:sz w:val="14"/>
              </w:rPr>
              <w:t>result</w:t>
            </w:r>
          </w:p>
        </w:tc>
        <w:tc>
          <w:tcPr>
            <w:tcW w:type="dxa" w:w="1152"/>
            <w:shd w:fill="FFFFFF"/>
            <w:tcMar>
              <w:top w:w="80" w:type="dxa"/>
              <w:start w:w="90" w:type="dxa"/>
              <w:bottom w:w="80" w:type="dxa"/>
              <w:end w:w="90" w:type="dxa"/>
            </w:tcMar>
            <w:vAlign w:val="top"/>
          </w:tcPr>
          <w:p>
            <w:pPr>
              <w:spacing w:after="0"/>
            </w:pPr>
            <w:r>
              <w:rPr>
                <w:color w:val="1F2933"/>
                <w:sz w:val="14"/>
              </w:rPr>
              <w:t>result</w:t>
            </w:r>
          </w:p>
        </w:tc>
      </w:tr>
      <w:tr>
        <w:trPr>
          <w:cantSplit/>
        </w:trPr>
        <w:tc>
          <w:tcPr>
            <w:tcW w:type="dxa" w:w="2232"/>
            <w:shd w:fill="F4F7F9"/>
            <w:tcMar>
              <w:top w:w="80" w:type="dxa"/>
              <w:start w:w="90" w:type="dxa"/>
              <w:bottom w:w="80" w:type="dxa"/>
              <w:end w:w="90" w:type="dxa"/>
            </w:tcMar>
            <w:vAlign w:val="top"/>
          </w:tcPr>
          <w:p>
            <w:pPr>
              <w:spacing w:after="0"/>
            </w:pPr>
            <w:r>
              <w:rPr>
                <w:color w:val="1F2933"/>
                <w:sz w:val="14"/>
              </w:rPr>
              <w:t>Proposed + CQR + Split CP</w:t>
            </w:r>
          </w:p>
        </w:tc>
        <w:tc>
          <w:tcPr>
            <w:tcW w:type="dxa" w:w="864"/>
            <w:shd w:fill="F4F7F9"/>
            <w:tcMar>
              <w:top w:w="80" w:type="dxa"/>
              <w:start w:w="90" w:type="dxa"/>
              <w:bottom w:w="80" w:type="dxa"/>
              <w:end w:w="90" w:type="dxa"/>
            </w:tcMar>
            <w:vAlign w:val="top"/>
          </w:tcPr>
          <w:p>
            <w:pPr>
              <w:spacing w:after="0"/>
            </w:pPr>
            <w:r>
              <w:rPr>
                <w:color w:val="1F2933"/>
                <w:sz w:val="14"/>
              </w:rPr>
              <w:t>result</w:t>
            </w:r>
          </w:p>
        </w:tc>
        <w:tc>
          <w:tcPr>
            <w:tcW w:type="dxa" w:w="1080"/>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c>
          <w:tcPr>
            <w:tcW w:type="dxa" w:w="1800"/>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c>
          <w:tcPr>
            <w:tcW w:type="dxa" w:w="1368"/>
            <w:shd w:fill="F4F7F9"/>
            <w:tcMar>
              <w:top w:w="80" w:type="dxa"/>
              <w:start w:w="90" w:type="dxa"/>
              <w:bottom w:w="80" w:type="dxa"/>
              <w:end w:w="90" w:type="dxa"/>
            </w:tcMar>
            <w:vAlign w:val="top"/>
          </w:tcPr>
          <w:p>
            <w:pPr>
              <w:spacing w:after="0"/>
            </w:pPr>
            <w:r>
              <w:rPr>
                <w:color w:val="1F2933"/>
                <w:sz w:val="14"/>
              </w:rPr>
              <w:t>result</w:t>
            </w:r>
          </w:p>
        </w:tc>
        <w:tc>
          <w:tcPr>
            <w:tcW w:type="dxa" w:w="1152"/>
            <w:shd w:fill="F4F7F9"/>
            <w:tcMar>
              <w:top w:w="80" w:type="dxa"/>
              <w:start w:w="90" w:type="dxa"/>
              <w:bottom w:w="80" w:type="dxa"/>
              <w:end w:w="90" w:type="dxa"/>
            </w:tcMar>
            <w:vAlign w:val="top"/>
          </w:tcPr>
          <w:p>
            <w:pPr>
              <w:spacing w:after="0"/>
            </w:pPr>
            <w:r>
              <w:rPr>
                <w:color w:val="1F2933"/>
                <w:sz w:val="14"/>
              </w:rPr>
              <w:t>result</w:t>
            </w:r>
          </w:p>
        </w:tc>
      </w:tr>
    </w:tbl>
    <w:p>
      <w:pPr>
        <w:spacing w:after="40"/>
      </w:pPr>
    </w:p>
    <w:p>
      <w:pPr>
        <w:pStyle w:val="Heading2"/>
        <w:keepNext/>
      </w:pPr>
      <w:r>
        <w:t>15.4 Failure-analysis protocol</w:t>
      </w:r>
    </w:p>
    <w:p>
      <w:pPr>
        <w:pStyle w:val="ListBullet"/>
        <w:spacing w:after="40"/>
        <w:ind w:left="317"/>
      </w:pPr>
      <w:r>
        <w:t>Inspect false negatives separately from false positives; identify whether misses occur at weak latent onset, severe shift, high noise, or contamination.</w:t>
      </w:r>
    </w:p>
    <w:p>
      <w:pPr>
        <w:pStyle w:val="ListBullet"/>
        <w:spacing w:after="40"/>
        <w:ind w:left="317"/>
      </w:pPr>
      <w:r>
        <w:t>Inspect cases where the conformal interval remains narrow but the prediction error is large under shift.</w:t>
      </w:r>
    </w:p>
    <w:p>
      <w:pPr>
        <w:pStyle w:val="ListBullet"/>
        <w:spacing w:after="40"/>
        <w:ind w:left="317"/>
      </w:pPr>
      <w:r>
        <w:t>Inspect large prediction sets / wide intervals that trigger REVIEW and determine whether the uncertainty is justified by the hidden ground truth.</w:t>
      </w:r>
    </w:p>
    <w:p>
      <w:pPr>
        <w:pStyle w:val="ListBullet"/>
        <w:spacing w:after="40"/>
        <w:ind w:left="317"/>
      </w:pPr>
      <w:r>
        <w:t>Inspect benchmark cases where the model appears to exploit baseline or noise artifacts instead of latent mechanism evidence.</w:t>
      </w:r>
    </w:p>
    <w:p>
      <w:pPr>
        <w:pStyle w:val="Heading1"/>
        <w:keepNext/>
      </w:pPr>
      <w:r>
        <w:t>16. Reproducibility, Auditability, and MLOps</w:t>
      </w:r>
    </w:p>
    <w:p>
      <w:pPr>
        <w:spacing w:after="100" w:line="254" w:lineRule="auto"/>
      </w:pPr>
      <w:r>
        <w:t>Because the project is software-only, reproducibility becomes a first-class strength rather than a fallback. Every benchmark and model decision should be recoverable from a versioned configuration, seed, dataset manifest, and code commit.</w:t>
      </w:r>
    </w:p>
    <w:p>
      <w:pPr>
        <w:pStyle w:val="Heading2"/>
        <w:keepNext/>
      </w:pPr>
      <w:r>
        <w:t>16.1 Versioned decision record</w:t>
      </w:r>
    </w:p>
    <w:tbl>
      <w:tblPr>
        <w:tblW w:type="auto" w:w="0"/>
        <w:jc w:val="center"/>
        <w:tblLook w:firstColumn="1" w:firstRow="1" w:lastColumn="0" w:lastRow="0" w:noHBand="0" w:noVBand="1" w:val="04A0"/>
      </w:tblPr>
      <w:tblGrid>
        <w:gridCol w:w="10166"/>
      </w:tblGrid>
      <w:tr>
        <w:trPr>
          <w:cantSplit/>
        </w:trPr>
        <w:tc>
          <w:tcPr>
            <w:tcW w:type="dxa" w:w="10166"/>
            <w:shd w:fill="F0F3F5"/>
            <w:tcMar>
              <w:top w:w="110" w:type="dxa"/>
              <w:start w:w="140" w:type="dxa"/>
              <w:bottom w:w="110" w:type="dxa"/>
              <w:end w:w="140" w:type="dxa"/>
            </w:tcMar>
          </w:tcPr>
          <w:p>
            <w:pPr>
              <w:spacing w:after="0"/>
            </w:pPr>
            <w:r>
              <w:rPr>
                <w:rFonts w:ascii="Consolas" w:hAnsi="Consolas"/>
                <w:color w:val="1F2933"/>
                <w:sz w:val="16"/>
              </w:rPr>
              <w:t>{</w:t>
              <w:br/>
              <w:t xml:space="preserve">  component_id,</w:t>
              <w:br/>
              <w:t xml:space="preserve">  lot_id,</w:t>
              <w:br/>
              <w:t xml:space="preserve">  stage_hours,</w:t>
              <w:br/>
              <w:t xml:space="preserve">  dataset_version,</w:t>
              <w:br/>
              <w:t xml:space="preserve">  generator_version,</w:t>
              <w:br/>
              <w:t xml:space="preserve">  model_version,</w:t>
              <w:br/>
              <w:t xml:space="preserve">  feature_version,</w:t>
              <w:br/>
              <w:t xml:space="preserve">  calibration_version,</w:t>
              <w:br/>
              <w:t xml:space="preserve">  anomaly_score,</w:t>
              <w:br/>
              <w:t xml:space="preserve">  predicted_168h,</w:t>
              <w:br/>
              <w:t xml:space="preserve">  conformal_interval,</w:t>
              <w:br/>
              <w:t xml:space="preserve">  anomaly_prediction_set,</w:t>
              <w:br/>
              <w:t xml:space="preserve">  shift_score,</w:t>
              <w:br/>
              <w:t xml:space="preserve">  trust_state,</w:t>
              <w:br/>
              <w:t xml:space="preserve">  disposition,</w:t>
              <w:br/>
              <w:t xml:space="preserve">  evidence_hash,</w:t>
              <w:br/>
              <w:t xml:space="preserve">  explanation_version,</w:t>
              <w:br/>
              <w:t xml:space="preserve">  timestamp</w:t>
              <w:br/>
              <w:t>}</w:t>
            </w:r>
          </w:p>
        </w:tc>
      </w:tr>
    </w:tbl>
    <w:p>
      <w:pPr>
        <w:pStyle w:val="Heading2"/>
        <w:keepNext/>
      </w:pPr>
      <w:r>
        <w:t>16.2 Reproducibility package</w:t>
      </w:r>
    </w:p>
    <w:p>
      <w:pPr>
        <w:pStyle w:val="ListBullet"/>
        <w:spacing w:after="40"/>
        <w:ind w:left="317"/>
      </w:pPr>
      <w:r>
        <w:t>Fixed configuration files and random seeds.</w:t>
      </w:r>
    </w:p>
    <w:p>
      <w:pPr>
        <w:pStyle w:val="ListBullet"/>
        <w:spacing w:after="40"/>
        <w:ind w:left="317"/>
      </w:pPr>
      <w:r>
        <w:t>Exact train / calibration / test manifest by lot.</w:t>
      </w:r>
    </w:p>
    <w:p>
      <w:pPr>
        <w:pStyle w:val="ListBullet"/>
        <w:spacing w:after="40"/>
        <w:ind w:left="317"/>
      </w:pPr>
      <w:r>
        <w:t>BurnIn-Bench generator code, parameter distributions, hidden-test manifest, and benchmark version.</w:t>
      </w:r>
    </w:p>
    <w:p>
      <w:pPr>
        <w:pStyle w:val="ListBullet"/>
        <w:spacing w:after="40"/>
        <w:ind w:left="317"/>
      </w:pPr>
      <w:r>
        <w:t>Model checkpoints and preprocessing artifacts.</w:t>
      </w:r>
    </w:p>
    <w:p>
      <w:pPr>
        <w:pStyle w:val="ListBullet"/>
        <w:spacing w:after="40"/>
        <w:ind w:left="317"/>
      </w:pPr>
      <w:r>
        <w:t>Experiment scripts that regenerate every main table and figure.</w:t>
      </w:r>
    </w:p>
    <w:p>
      <w:pPr>
        <w:pStyle w:val="ListBullet"/>
        <w:spacing w:after="40"/>
        <w:ind w:left="317"/>
      </w:pPr>
      <w:r>
        <w:t>Dockerized inference and replay path.</w:t>
      </w:r>
    </w:p>
    <w:p>
      <w:pPr>
        <w:pStyle w:val="ListBullet"/>
        <w:spacing w:after="40"/>
        <w:ind w:left="317"/>
      </w:pPr>
      <w:r>
        <w:t>Model card, benchmark card, data statement, and limitation statement.</w:t>
      </w:r>
    </w:p>
    <w:p>
      <w:pPr>
        <w:pStyle w:val="ListBullet"/>
        <w:spacing w:after="40"/>
        <w:ind w:left="317"/>
      </w:pPr>
      <w:r>
        <w:t>A small frozen demo benchmark for independent reproduction.</w:t>
      </w:r>
    </w:p>
    <w:p>
      <w:pPr>
        <w:pStyle w:val="Heading2"/>
        <w:keepNext/>
      </w:pPr>
      <w:r>
        <w:t>16.3 Reproducible trust monitoring</w:t>
      </w:r>
    </w:p>
    <w:p>
      <w:pPr>
        <w:spacing w:after="100" w:line="254" w:lineRule="auto"/>
      </w:pPr>
      <w:r>
        <w:t>Persist calibration version, shift configuration, nominal target coverage, observed validation coverage, and any recalibration action. A reviewer must be able to tell whether an uncertainty output came from the intended calibration set and whether the system was operating inside or outside the declared calibration regime.</w:t>
      </w:r>
    </w:p>
    <w:p>
      <w:pPr>
        <w:pStyle w:val="Heading1"/>
        <w:keepNext/>
      </w:pPr>
      <w:r>
        <w:t>17. Scope Exclusions and Claims Discipline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736"/>
            <w:shd w:fill="183A5A"/>
            <w:tcMar>
              <w:top w:w="80" w:type="dxa"/>
              <w:start w:w="90" w:type="dxa"/>
              <w:bottom w:w="80" w:type="dxa"/>
              <w:end w:w="90" w:type="dxa"/>
            </w:tcMar>
            <w:vAlign w:val="center"/>
          </w:tcPr>
          <w:p>
            <w:pPr>
              <w:jc w:val="left"/>
            </w:pPr>
            <w:r>
              <w:rPr>
                <w:b/>
                <w:color w:val="FFFFFF"/>
                <w:sz w:val="16"/>
              </w:rPr>
              <w:t>Do not build / claim</w:t>
            </w:r>
          </w:p>
        </w:tc>
        <w:tc>
          <w:tcPr>
            <w:tcW w:type="dxa" w:w="3888"/>
            <w:shd w:fill="183A5A"/>
            <w:tcMar>
              <w:top w:w="80" w:type="dxa"/>
              <w:start w:w="90" w:type="dxa"/>
              <w:bottom w:w="80" w:type="dxa"/>
              <w:end w:w="90" w:type="dxa"/>
            </w:tcMar>
            <w:vAlign w:val="center"/>
          </w:tcPr>
          <w:p>
            <w:pPr>
              <w:jc w:val="left"/>
            </w:pPr>
            <w:r>
              <w:rPr>
                <w:b/>
                <w:color w:val="FFFFFF"/>
                <w:sz w:val="16"/>
              </w:rPr>
              <w:t>Reason</w:t>
            </w:r>
          </w:p>
        </w:tc>
        <w:tc>
          <w:tcPr>
            <w:tcW w:type="dxa" w:w="3024"/>
            <w:shd w:fill="183A5A"/>
            <w:tcMar>
              <w:top w:w="80" w:type="dxa"/>
              <w:start w:w="90" w:type="dxa"/>
              <w:bottom w:w="80" w:type="dxa"/>
              <w:end w:w="90" w:type="dxa"/>
            </w:tcMar>
            <w:vAlign w:val="center"/>
          </w:tcPr>
          <w:p>
            <w:pPr>
              <w:jc w:val="left"/>
            </w:pPr>
            <w:r>
              <w:rPr>
                <w:b/>
                <w:color w:val="FFFFFF"/>
                <w:sz w:val="16"/>
              </w:rPr>
              <w:t>Use instead</w:t>
            </w:r>
          </w:p>
        </w:tc>
      </w:tr>
      <w:tr>
        <w:trPr>
          <w:cantSplit/>
        </w:trPr>
        <w:tc>
          <w:tcPr>
            <w:tcW w:type="dxa" w:w="2736"/>
            <w:shd w:fill="FFFFFF"/>
            <w:tcMar>
              <w:top w:w="80" w:type="dxa"/>
              <w:start w:w="90" w:type="dxa"/>
              <w:bottom w:w="80" w:type="dxa"/>
              <w:end w:w="90" w:type="dxa"/>
            </w:tcMar>
            <w:vAlign w:val="top"/>
          </w:tcPr>
          <w:p>
            <w:pPr>
              <w:spacing w:after="0"/>
            </w:pPr>
            <w:r>
              <w:rPr>
                <w:color w:val="1F2933"/>
                <w:sz w:val="16"/>
              </w:rPr>
              <w:t>Physical hardware as a project requirement</w:t>
            </w:r>
          </w:p>
        </w:tc>
        <w:tc>
          <w:tcPr>
            <w:tcW w:type="dxa" w:w="3888"/>
            <w:shd w:fill="FFFFFF"/>
            <w:tcMar>
              <w:top w:w="80" w:type="dxa"/>
              <w:start w:w="90" w:type="dxa"/>
              <w:bottom w:w="80" w:type="dxa"/>
              <w:end w:w="90" w:type="dxa"/>
            </w:tcMar>
            <w:vAlign w:val="top"/>
          </w:tcPr>
          <w:p>
            <w:pPr>
              <w:spacing w:after="0"/>
            </w:pPr>
            <w:r>
              <w:rPr>
                <w:color w:val="1F2933"/>
                <w:sz w:val="16"/>
              </w:rPr>
              <w:t>Creates external cost and availability dependency</w:t>
            </w:r>
          </w:p>
        </w:tc>
        <w:tc>
          <w:tcPr>
            <w:tcW w:type="dxa" w:w="3024"/>
            <w:shd w:fill="FFFFFF"/>
            <w:tcMar>
              <w:top w:w="80" w:type="dxa"/>
              <w:start w:w="90" w:type="dxa"/>
              <w:bottom w:w="80" w:type="dxa"/>
              <w:end w:w="90" w:type="dxa"/>
            </w:tcMar>
            <w:vAlign w:val="top"/>
          </w:tcPr>
          <w:p>
            <w:pPr>
              <w:spacing w:after="0"/>
            </w:pPr>
            <w:r>
              <w:rPr>
                <w:color w:val="1F2933"/>
                <w:sz w:val="16"/>
              </w:rPr>
              <w:t>BurnIn-Bench + deterministic replay</w:t>
            </w:r>
          </w:p>
        </w:tc>
      </w:tr>
      <w:tr>
        <w:trPr>
          <w:cantSplit/>
        </w:trPr>
        <w:tc>
          <w:tcPr>
            <w:tcW w:type="dxa" w:w="2736"/>
            <w:shd w:fill="F4F7F9"/>
            <w:tcMar>
              <w:top w:w="80" w:type="dxa"/>
              <w:start w:w="90" w:type="dxa"/>
              <w:bottom w:w="80" w:type="dxa"/>
              <w:end w:w="90" w:type="dxa"/>
            </w:tcMar>
            <w:vAlign w:val="top"/>
          </w:tcPr>
          <w:p>
            <w:pPr>
              <w:spacing w:after="0"/>
            </w:pPr>
            <w:r>
              <w:rPr>
                <w:color w:val="1F2933"/>
                <w:sz w:val="16"/>
              </w:rPr>
              <w:t>“We reproduced ISRO burn-in”</w:t>
            </w:r>
          </w:p>
        </w:tc>
        <w:tc>
          <w:tcPr>
            <w:tcW w:type="dxa" w:w="3888"/>
            <w:shd w:fill="F4F7F9"/>
            <w:tcMar>
              <w:top w:w="80" w:type="dxa"/>
              <w:start w:w="90" w:type="dxa"/>
              <w:bottom w:w="80" w:type="dxa"/>
              <w:end w:w="90" w:type="dxa"/>
            </w:tcMar>
            <w:vAlign w:val="top"/>
          </w:tcPr>
          <w:p>
            <w:pPr>
              <w:spacing w:after="0"/>
            </w:pPr>
            <w:r>
              <w:rPr>
                <w:color w:val="1F2933"/>
                <w:sz w:val="16"/>
              </w:rPr>
              <w:t>No validated proprietary process or instrumentation</w:t>
            </w:r>
          </w:p>
        </w:tc>
        <w:tc>
          <w:tcPr>
            <w:tcW w:type="dxa" w:w="3024"/>
            <w:shd w:fill="F4F7F9"/>
            <w:tcMar>
              <w:top w:w="80" w:type="dxa"/>
              <w:start w:w="90" w:type="dxa"/>
              <w:bottom w:w="80" w:type="dxa"/>
              <w:end w:w="90" w:type="dxa"/>
            </w:tcMar>
            <w:vAlign w:val="top"/>
          </w:tcPr>
          <w:p>
            <w:pPr>
              <w:spacing w:after="0"/>
            </w:pPr>
            <w:r>
              <w:rPr>
                <w:color w:val="1F2933"/>
                <w:sz w:val="16"/>
              </w:rPr>
              <w:t>“We reproduced the staged data problem in software using a controlled benchmark.”</w:t>
            </w:r>
          </w:p>
        </w:tc>
      </w:tr>
      <w:tr>
        <w:trPr>
          <w:cantSplit/>
        </w:trPr>
        <w:tc>
          <w:tcPr>
            <w:tcW w:type="dxa" w:w="2736"/>
            <w:shd w:fill="FFFFFF"/>
            <w:tcMar>
              <w:top w:w="80" w:type="dxa"/>
              <w:start w:w="90" w:type="dxa"/>
              <w:bottom w:w="80" w:type="dxa"/>
              <w:end w:w="90" w:type="dxa"/>
            </w:tcMar>
            <w:vAlign w:val="top"/>
          </w:tcPr>
          <w:p>
            <w:pPr>
              <w:spacing w:after="0"/>
            </w:pPr>
            <w:r>
              <w:rPr>
                <w:color w:val="1F2933"/>
                <w:sz w:val="16"/>
              </w:rPr>
              <w:t>“Conformal guarantees under distribution shift”</w:t>
            </w:r>
          </w:p>
        </w:tc>
        <w:tc>
          <w:tcPr>
            <w:tcW w:type="dxa" w:w="3888"/>
            <w:shd w:fill="FFFFFF"/>
            <w:tcMar>
              <w:top w:w="80" w:type="dxa"/>
              <w:start w:w="90" w:type="dxa"/>
              <w:bottom w:w="80" w:type="dxa"/>
              <w:end w:w="90" w:type="dxa"/>
            </w:tcMar>
            <w:vAlign w:val="top"/>
          </w:tcPr>
          <w:p>
            <w:pPr>
              <w:spacing w:after="0"/>
            </w:pPr>
            <w:r>
              <w:rPr>
                <w:color w:val="1F2933"/>
                <w:sz w:val="16"/>
              </w:rPr>
              <w:t>Standard guarantees do not cover arbitrary shift</w:t>
            </w:r>
          </w:p>
        </w:tc>
        <w:tc>
          <w:tcPr>
            <w:tcW w:type="dxa" w:w="3024"/>
            <w:shd w:fill="FFFFFF"/>
            <w:tcMar>
              <w:top w:w="80" w:type="dxa"/>
              <w:start w:w="90" w:type="dxa"/>
              <w:bottom w:w="80" w:type="dxa"/>
              <w:end w:w="90" w:type="dxa"/>
            </w:tcMar>
            <w:vAlign w:val="top"/>
          </w:tcPr>
          <w:p>
            <w:pPr>
              <w:spacing w:after="0"/>
            </w:pPr>
            <w:r>
              <w:rPr>
                <w:color w:val="1F2933"/>
                <w:sz w:val="16"/>
              </w:rPr>
              <w:t>“We measure conformal calibration degradation under declared cross-lot shifts.”</w:t>
            </w:r>
          </w:p>
        </w:tc>
      </w:tr>
      <w:tr>
        <w:trPr>
          <w:cantSplit/>
        </w:trPr>
        <w:tc>
          <w:tcPr>
            <w:tcW w:type="dxa" w:w="2736"/>
            <w:shd w:fill="F4F7F9"/>
            <w:tcMar>
              <w:top w:w="80" w:type="dxa"/>
              <w:start w:w="90" w:type="dxa"/>
              <w:bottom w:w="80" w:type="dxa"/>
              <w:end w:w="90" w:type="dxa"/>
            </w:tcMar>
            <w:vAlign w:val="top"/>
          </w:tcPr>
          <w:p>
            <w:pPr>
              <w:spacing w:after="0"/>
            </w:pPr>
            <w:r>
              <w:rPr>
                <w:color w:val="1F2933"/>
                <w:sz w:val="16"/>
              </w:rPr>
              <w:t>Black equation = resistance drift law</w:t>
            </w:r>
          </w:p>
        </w:tc>
        <w:tc>
          <w:tcPr>
            <w:tcW w:type="dxa" w:w="3888"/>
            <w:shd w:fill="F4F7F9"/>
            <w:tcMar>
              <w:top w:w="80" w:type="dxa"/>
              <w:start w:w="90" w:type="dxa"/>
              <w:bottom w:w="80" w:type="dxa"/>
              <w:end w:w="90" w:type="dxa"/>
            </w:tcMar>
            <w:vAlign w:val="top"/>
          </w:tcPr>
          <w:p>
            <w:pPr>
              <w:spacing w:after="0"/>
            </w:pPr>
            <w:r>
              <w:rPr>
                <w:color w:val="1F2933"/>
                <w:sz w:val="16"/>
              </w:rPr>
              <w:t>Black is a mean-time-to-failure relation for electromigration</w:t>
            </w:r>
          </w:p>
        </w:tc>
        <w:tc>
          <w:tcPr>
            <w:tcW w:type="dxa" w:w="3024"/>
            <w:shd w:fill="F4F7F9"/>
            <w:tcMar>
              <w:top w:w="80" w:type="dxa"/>
              <w:start w:w="90" w:type="dxa"/>
              <w:bottom w:w="80" w:type="dxa"/>
              <w:end w:w="90" w:type="dxa"/>
            </w:tcMar>
            <w:vAlign w:val="top"/>
          </w:tcPr>
          <w:p>
            <w:pPr>
              <w:spacing w:after="0"/>
            </w:pPr>
            <w:r>
              <w:rPr>
                <w:color w:val="1F2933"/>
                <w:sz w:val="16"/>
              </w:rPr>
              <w:t>Use Black as a stress/lifetime prior; use separate phenomenological drift law for observables</w:t>
            </w:r>
          </w:p>
        </w:tc>
      </w:tr>
      <w:tr>
        <w:trPr>
          <w:cantSplit/>
        </w:trPr>
        <w:tc>
          <w:tcPr>
            <w:tcW w:type="dxa" w:w="2736"/>
            <w:shd w:fill="FFFFFF"/>
            <w:tcMar>
              <w:top w:w="80" w:type="dxa"/>
              <w:start w:w="90" w:type="dxa"/>
              <w:bottom w:w="80" w:type="dxa"/>
              <w:end w:w="90" w:type="dxa"/>
            </w:tcMar>
            <w:vAlign w:val="top"/>
          </w:tcPr>
          <w:p>
            <w:pPr>
              <w:spacing w:after="0"/>
            </w:pPr>
            <w:r>
              <w:rPr>
                <w:color w:val="1F2933"/>
                <w:sz w:val="16"/>
              </w:rPr>
              <w:t>NBTI universally follows ln(t)</w:t>
            </w:r>
          </w:p>
        </w:tc>
        <w:tc>
          <w:tcPr>
            <w:tcW w:type="dxa" w:w="3888"/>
            <w:shd w:fill="FFFFFF"/>
            <w:tcMar>
              <w:top w:w="80" w:type="dxa"/>
              <w:start w:w="90" w:type="dxa"/>
              <w:bottom w:w="80" w:type="dxa"/>
              <w:end w:w="90" w:type="dxa"/>
            </w:tcMar>
            <w:vAlign w:val="top"/>
          </w:tcPr>
          <w:p>
            <w:pPr>
              <w:spacing w:after="0"/>
            </w:pPr>
            <w:r>
              <w:rPr>
                <w:color w:val="1F2933"/>
                <w:sz w:val="16"/>
              </w:rPr>
              <w:t>Time dependence is model/regime dependent</w:t>
            </w:r>
          </w:p>
        </w:tc>
        <w:tc>
          <w:tcPr>
            <w:tcW w:type="dxa" w:w="3024"/>
            <w:shd w:fill="FFFFFF"/>
            <w:tcMar>
              <w:top w:w="80" w:type="dxa"/>
              <w:start w:w="90" w:type="dxa"/>
              <w:bottom w:w="80" w:type="dxa"/>
              <w:end w:w="90" w:type="dxa"/>
            </w:tcMar>
            <w:vAlign w:val="top"/>
          </w:tcPr>
          <w:p>
            <w:pPr>
              <w:spacing w:after="0"/>
            </w:pPr>
            <w:r>
              <w:rPr>
                <w:color w:val="1F2933"/>
                <w:sz w:val="16"/>
              </w:rPr>
              <w:t>Use literature-supported NBTI-inspired laws with stated assumptions</w:t>
            </w:r>
          </w:p>
        </w:tc>
      </w:tr>
      <w:tr>
        <w:trPr>
          <w:cantSplit/>
        </w:trPr>
        <w:tc>
          <w:tcPr>
            <w:tcW w:type="dxa" w:w="2736"/>
            <w:shd w:fill="F4F7F9"/>
            <w:tcMar>
              <w:top w:w="80" w:type="dxa"/>
              <w:start w:w="90" w:type="dxa"/>
              <w:bottom w:w="80" w:type="dxa"/>
              <w:end w:w="90" w:type="dxa"/>
            </w:tcMar>
            <w:vAlign w:val="top"/>
          </w:tcPr>
          <w:p>
            <w:pPr>
              <w:spacing w:after="0"/>
            </w:pPr>
            <w:r>
              <w:rPr>
                <w:color w:val="1F2933"/>
                <w:sz w:val="16"/>
              </w:rPr>
              <w:t>LLM root-cause confirmation</w:t>
            </w:r>
          </w:p>
        </w:tc>
        <w:tc>
          <w:tcPr>
            <w:tcW w:type="dxa" w:w="3888"/>
            <w:shd w:fill="F4F7F9"/>
            <w:tcMar>
              <w:top w:w="80" w:type="dxa"/>
              <w:start w:w="90" w:type="dxa"/>
              <w:bottom w:w="80" w:type="dxa"/>
              <w:end w:w="90" w:type="dxa"/>
            </w:tcMar>
            <w:vAlign w:val="top"/>
          </w:tcPr>
          <w:p>
            <w:pPr>
              <w:spacing w:after="0"/>
            </w:pPr>
            <w:r>
              <w:rPr>
                <w:color w:val="1F2933"/>
                <w:sz w:val="16"/>
              </w:rPr>
              <w:t>Language-model output is not physical proof</w:t>
            </w:r>
          </w:p>
        </w:tc>
        <w:tc>
          <w:tcPr>
            <w:tcW w:type="dxa" w:w="3024"/>
            <w:shd w:fill="F4F7F9"/>
            <w:tcMar>
              <w:top w:w="80" w:type="dxa"/>
              <w:start w:w="90" w:type="dxa"/>
              <w:bottom w:w="80" w:type="dxa"/>
              <w:end w:w="90" w:type="dxa"/>
            </w:tcMar>
            <w:vAlign w:val="top"/>
          </w:tcPr>
          <w:p>
            <w:pPr>
              <w:spacing w:after="0"/>
            </w:pPr>
            <w:r>
              <w:rPr>
                <w:color w:val="1F2933"/>
                <w:sz w:val="16"/>
              </w:rPr>
              <w:t>Evidence-grounded candidate mechanism statements + human review</w:t>
            </w:r>
          </w:p>
        </w:tc>
      </w:tr>
      <w:tr>
        <w:trPr>
          <w:cantSplit/>
        </w:trPr>
        <w:tc>
          <w:tcPr>
            <w:tcW w:type="dxa" w:w="2736"/>
            <w:shd w:fill="FFFFFF"/>
            <w:tcMar>
              <w:top w:w="80" w:type="dxa"/>
              <w:start w:w="90" w:type="dxa"/>
              <w:bottom w:w="80" w:type="dxa"/>
              <w:end w:w="90" w:type="dxa"/>
            </w:tcMar>
            <w:vAlign w:val="top"/>
          </w:tcPr>
          <w:p>
            <w:pPr>
              <w:spacing w:after="0"/>
            </w:pPr>
            <w:r>
              <w:rPr>
                <w:color w:val="1F2933"/>
                <w:sz w:val="16"/>
              </w:rPr>
              <w:t>Random split as the main generalization test</w:t>
            </w:r>
          </w:p>
        </w:tc>
        <w:tc>
          <w:tcPr>
            <w:tcW w:type="dxa" w:w="3888"/>
            <w:shd w:fill="FFFFFF"/>
            <w:tcMar>
              <w:top w:w="80" w:type="dxa"/>
              <w:start w:w="90" w:type="dxa"/>
              <w:bottom w:w="80" w:type="dxa"/>
              <w:end w:w="90" w:type="dxa"/>
            </w:tcMar>
            <w:vAlign w:val="top"/>
          </w:tcPr>
          <w:p>
            <w:pPr>
              <w:spacing w:after="0"/>
            </w:pPr>
            <w:r>
              <w:rPr>
                <w:color w:val="1F2933"/>
                <w:sz w:val="16"/>
              </w:rPr>
              <w:t>Lot leakage can inflate results</w:t>
            </w:r>
          </w:p>
        </w:tc>
        <w:tc>
          <w:tcPr>
            <w:tcW w:type="dxa" w:w="3024"/>
            <w:shd w:fill="FFFFFF"/>
            <w:tcMar>
              <w:top w:w="80" w:type="dxa"/>
              <w:start w:w="90" w:type="dxa"/>
              <w:bottom w:w="80" w:type="dxa"/>
              <w:end w:w="90" w:type="dxa"/>
            </w:tcMar>
            <w:vAlign w:val="top"/>
          </w:tcPr>
          <w:p>
            <w:pPr>
              <w:spacing w:after="0"/>
            </w:pPr>
            <w:r>
              <w:rPr>
                <w:color w:val="1F2933"/>
                <w:sz w:val="16"/>
              </w:rPr>
              <w:t>Unseen-lot split</w:t>
            </w:r>
          </w:p>
        </w:tc>
      </w:tr>
      <w:tr>
        <w:trPr>
          <w:cantSplit/>
        </w:trPr>
        <w:tc>
          <w:tcPr>
            <w:tcW w:type="dxa" w:w="2736"/>
            <w:shd w:fill="F4F7F9"/>
            <w:tcMar>
              <w:top w:w="80" w:type="dxa"/>
              <w:start w:w="90" w:type="dxa"/>
              <w:bottom w:w="80" w:type="dxa"/>
              <w:end w:w="90" w:type="dxa"/>
            </w:tcMar>
            <w:vAlign w:val="top"/>
          </w:tcPr>
          <w:p>
            <w:pPr>
              <w:spacing w:after="0"/>
            </w:pPr>
            <w:r>
              <w:rPr>
                <w:color w:val="1F2933"/>
                <w:sz w:val="16"/>
              </w:rPr>
              <w:t>Accuracy as the headline metric</w:t>
            </w:r>
          </w:p>
        </w:tc>
        <w:tc>
          <w:tcPr>
            <w:tcW w:type="dxa" w:w="3888"/>
            <w:shd w:fill="F4F7F9"/>
            <w:tcMar>
              <w:top w:w="80" w:type="dxa"/>
              <w:start w:w="90" w:type="dxa"/>
              <w:bottom w:w="80" w:type="dxa"/>
              <w:end w:w="90" w:type="dxa"/>
            </w:tcMar>
            <w:vAlign w:val="top"/>
          </w:tcPr>
          <w:p>
            <w:pPr>
              <w:spacing w:after="0"/>
            </w:pPr>
            <w:r>
              <w:rPr>
                <w:color w:val="1F2933"/>
                <w:sz w:val="16"/>
              </w:rPr>
              <w:t>Rare defects and asymmetric risk</w:t>
            </w:r>
          </w:p>
        </w:tc>
        <w:tc>
          <w:tcPr>
            <w:tcW w:type="dxa" w:w="3024"/>
            <w:shd w:fill="F4F7F9"/>
            <w:tcMar>
              <w:top w:w="80" w:type="dxa"/>
              <w:start w:w="90" w:type="dxa"/>
              <w:bottom w:w="80" w:type="dxa"/>
              <w:end w:w="90" w:type="dxa"/>
            </w:tcMar>
            <w:vAlign w:val="top"/>
          </w:tcPr>
          <w:p>
            <w:pPr>
              <w:spacing w:after="0"/>
            </w:pPr>
            <w:r>
              <w:rPr>
                <w:color w:val="1F2933"/>
                <w:sz w:val="16"/>
              </w:rPr>
              <w:t>FNR + lead time + PR-AUC + MAE + calibration + risk-coverage</w:t>
            </w:r>
          </w:p>
        </w:tc>
      </w:tr>
      <w:tr>
        <w:trPr>
          <w:cantSplit/>
        </w:trPr>
        <w:tc>
          <w:tcPr>
            <w:tcW w:type="dxa" w:w="2736"/>
            <w:shd w:fill="FFFFFF"/>
            <w:tcMar>
              <w:top w:w="80" w:type="dxa"/>
              <w:start w:w="90" w:type="dxa"/>
              <w:bottom w:w="80" w:type="dxa"/>
              <w:end w:w="90" w:type="dxa"/>
            </w:tcMar>
            <w:vAlign w:val="top"/>
          </w:tcPr>
          <w:p>
            <w:pPr>
              <w:spacing w:after="0"/>
            </w:pPr>
            <w:r>
              <w:rPr>
                <w:color w:val="1F2933"/>
                <w:sz w:val="16"/>
              </w:rPr>
              <w:t>Large-model complexity for its own sake</w:t>
            </w:r>
          </w:p>
        </w:tc>
        <w:tc>
          <w:tcPr>
            <w:tcW w:type="dxa" w:w="3888"/>
            <w:shd w:fill="FFFFFF"/>
            <w:tcMar>
              <w:top w:w="80" w:type="dxa"/>
              <w:start w:w="90" w:type="dxa"/>
              <w:bottom w:w="80" w:type="dxa"/>
              <w:end w:w="90" w:type="dxa"/>
            </w:tcMar>
            <w:vAlign w:val="top"/>
          </w:tcPr>
          <w:p>
            <w:pPr>
              <w:spacing w:after="0"/>
            </w:pPr>
            <w:r>
              <w:rPr>
                <w:color w:val="1F2933"/>
                <w:sz w:val="16"/>
              </w:rPr>
              <w:t>Raises confounding and execution cost</w:t>
            </w:r>
          </w:p>
        </w:tc>
        <w:tc>
          <w:tcPr>
            <w:tcW w:type="dxa" w:w="3024"/>
            <w:shd w:fill="FFFFFF"/>
            <w:tcMar>
              <w:top w:w="80" w:type="dxa"/>
              <w:start w:w="90" w:type="dxa"/>
              <w:bottom w:w="80" w:type="dxa"/>
              <w:end w:w="90" w:type="dxa"/>
            </w:tcMar>
            <w:vAlign w:val="top"/>
          </w:tcPr>
          <w:p>
            <w:pPr>
              <w:spacing w:after="0"/>
            </w:pPr>
            <w:r>
              <w:rPr>
                <w:color w:val="1F2933"/>
                <w:sz w:val="16"/>
              </w:rPr>
              <w:t>Smallest model that answers the research question</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2E7D77"/>
              </w:rPr>
              <w:t>One sentence to remember</w:t>
            </w:r>
          </w:p>
          <w:p>
            <w:pPr>
              <w:spacing w:after="0"/>
            </w:pPr>
            <w:r>
              <w:t>The project is not “five AI modules plus an LLM.” It is one reliability-oriented screening research pipeline, one controlled benchmark, and one rigorous experiment about what happens when production distributions move.</w:t>
            </w:r>
          </w:p>
        </w:tc>
      </w:tr>
    </w:tbl>
    <w:p>
      <w:pPr>
        <w:pStyle w:val="Heading1"/>
        <w:keepNext/>
      </w:pPr>
      <w:r>
        <w:t>18. Team Structure and One-Year Execution Roadmap</w:t>
      </w:r>
    </w:p>
    <w:p>
      <w:pPr>
        <w:pStyle w:val="Heading2"/>
        <w:keepNext/>
      </w:pPr>
      <w:r>
        <w:t>18.1 Three-person division of responsibility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83A5A"/>
            <w:tcMar>
              <w:top w:w="80" w:type="dxa"/>
              <w:start w:w="90" w:type="dxa"/>
              <w:bottom w:w="80" w:type="dxa"/>
              <w:end w:w="90" w:type="dxa"/>
            </w:tcMar>
            <w:vAlign w:val="center"/>
          </w:tcPr>
          <w:p>
            <w:pPr>
              <w:jc w:val="left"/>
            </w:pPr>
            <w:r>
              <w:rPr>
                <w:b/>
                <w:color w:val="FFFFFF"/>
                <w:sz w:val="16"/>
              </w:rPr>
              <w:t>Member</w:t>
            </w:r>
          </w:p>
        </w:tc>
        <w:tc>
          <w:tcPr>
            <w:tcW w:type="dxa" w:w="4968"/>
            <w:shd w:fill="183A5A"/>
            <w:tcMar>
              <w:top w:w="80" w:type="dxa"/>
              <w:start w:w="90" w:type="dxa"/>
              <w:bottom w:w="80" w:type="dxa"/>
              <w:end w:w="90" w:type="dxa"/>
            </w:tcMar>
            <w:vAlign w:val="center"/>
          </w:tcPr>
          <w:p>
            <w:pPr>
              <w:jc w:val="left"/>
            </w:pPr>
            <w:r>
              <w:rPr>
                <w:b/>
                <w:color w:val="FFFFFF"/>
                <w:sz w:val="16"/>
              </w:rPr>
              <w:t>Primary ownership</w:t>
            </w:r>
          </w:p>
        </w:tc>
        <w:tc>
          <w:tcPr>
            <w:tcW w:type="dxa" w:w="2880"/>
            <w:shd w:fill="183A5A"/>
            <w:tcMar>
              <w:top w:w="80" w:type="dxa"/>
              <w:start w:w="90" w:type="dxa"/>
              <w:bottom w:w="80" w:type="dxa"/>
              <w:end w:w="90" w:type="dxa"/>
            </w:tcMar>
            <w:vAlign w:val="center"/>
          </w:tcPr>
          <w:p>
            <w:pPr>
              <w:jc w:val="left"/>
            </w:pPr>
            <w:r>
              <w:rPr>
                <w:b/>
                <w:color w:val="FFFFFF"/>
                <w:sz w:val="16"/>
              </w:rPr>
              <w:t>Shared responsibilities</w:t>
            </w:r>
          </w:p>
        </w:tc>
      </w:tr>
      <w:tr>
        <w:trPr>
          <w:cantSplit/>
        </w:trPr>
        <w:tc>
          <w:tcPr>
            <w:tcW w:type="dxa" w:w="2088"/>
            <w:shd w:fill="FFFFFF"/>
            <w:tcMar>
              <w:top w:w="80" w:type="dxa"/>
              <w:start w:w="90" w:type="dxa"/>
              <w:bottom w:w="80" w:type="dxa"/>
              <w:end w:w="90" w:type="dxa"/>
            </w:tcMar>
            <w:vAlign w:val="top"/>
          </w:tcPr>
          <w:p>
            <w:pPr>
              <w:spacing w:after="0"/>
            </w:pPr>
            <w:r>
              <w:rPr>
                <w:color w:val="1F2933"/>
                <w:sz w:val="16"/>
              </w:rPr>
              <w:t>Member 1 - Data &amp; Research</w:t>
            </w:r>
          </w:p>
        </w:tc>
        <w:tc>
          <w:tcPr>
            <w:tcW w:type="dxa" w:w="4968"/>
            <w:shd w:fill="FFFFFF"/>
            <w:tcMar>
              <w:top w:w="80" w:type="dxa"/>
              <w:start w:w="90" w:type="dxa"/>
              <w:bottom w:w="80" w:type="dxa"/>
              <w:end w:w="90" w:type="dxa"/>
            </w:tcMar>
            <w:vAlign w:val="top"/>
          </w:tcPr>
          <w:p>
            <w:pPr>
              <w:spacing w:after="0"/>
            </w:pPr>
            <w:r>
              <w:rPr>
                <w:color w:val="1F2933"/>
                <w:sz w:val="16"/>
              </w:rPr>
              <w:t>BurnIn-Bench, physics-prior literature, proxy datasets, split protocol, benchmark card, statistical evaluation</w:t>
            </w:r>
          </w:p>
        </w:tc>
        <w:tc>
          <w:tcPr>
            <w:tcW w:type="dxa" w:w="2880"/>
            <w:shd w:fill="FFFFFF"/>
            <w:tcMar>
              <w:top w:w="80" w:type="dxa"/>
              <w:start w:w="90" w:type="dxa"/>
              <w:bottom w:w="80" w:type="dxa"/>
              <w:end w:w="90" w:type="dxa"/>
            </w:tcMar>
            <w:vAlign w:val="top"/>
          </w:tcPr>
          <w:p>
            <w:pPr>
              <w:spacing w:after="0"/>
            </w:pPr>
            <w:r>
              <w:rPr>
                <w:color w:val="1F2933"/>
                <w:sz w:val="16"/>
              </w:rPr>
              <w:t>All members review claims and reproduce core experiments</w:t>
            </w:r>
          </w:p>
        </w:tc>
      </w:tr>
      <w:tr>
        <w:trPr>
          <w:cantSplit/>
        </w:trPr>
        <w:tc>
          <w:tcPr>
            <w:tcW w:type="dxa" w:w="2088"/>
            <w:shd w:fill="F4F7F9"/>
            <w:tcMar>
              <w:top w:w="80" w:type="dxa"/>
              <w:start w:w="90" w:type="dxa"/>
              <w:bottom w:w="80" w:type="dxa"/>
              <w:end w:w="90" w:type="dxa"/>
            </w:tcMar>
            <w:vAlign w:val="top"/>
          </w:tcPr>
          <w:p>
            <w:pPr>
              <w:spacing w:after="0"/>
            </w:pPr>
            <w:r>
              <w:rPr>
                <w:color w:val="1F2933"/>
                <w:sz w:val="16"/>
              </w:rPr>
              <w:t>Member 2 - AI/ML Core</w:t>
            </w:r>
          </w:p>
        </w:tc>
        <w:tc>
          <w:tcPr>
            <w:tcW w:type="dxa" w:w="4968"/>
            <w:shd w:fill="F4F7F9"/>
            <w:tcMar>
              <w:top w:w="80" w:type="dxa"/>
              <w:start w:w="90" w:type="dxa"/>
              <w:bottom w:w="80" w:type="dxa"/>
              <w:end w:w="90" w:type="dxa"/>
            </w:tcMar>
            <w:vAlign w:val="top"/>
          </w:tcPr>
          <w:p>
            <w:pPr>
              <w:spacing w:after="0"/>
            </w:pPr>
            <w:r>
              <w:rPr>
                <w:color w:val="1F2933"/>
                <w:sz w:val="16"/>
              </w:rPr>
              <w:t>REPRESENT, DETECT, PREDICT, TRUST, conformal calibration, shift experiments, ablations</w:t>
            </w:r>
          </w:p>
        </w:tc>
        <w:tc>
          <w:tcPr>
            <w:tcW w:type="dxa" w:w="2880"/>
            <w:shd w:fill="F4F7F9"/>
            <w:tcMar>
              <w:top w:w="80" w:type="dxa"/>
              <w:start w:w="90" w:type="dxa"/>
              <w:bottom w:w="80" w:type="dxa"/>
              <w:end w:w="90" w:type="dxa"/>
            </w:tcMar>
            <w:vAlign w:val="top"/>
          </w:tcPr>
          <w:p>
            <w:pPr>
              <w:spacing w:after="0"/>
            </w:pPr>
            <w:r>
              <w:rPr>
                <w:color w:val="1F2933"/>
                <w:sz w:val="16"/>
              </w:rPr>
              <w:t>All members understand metrics and can rerun the core</w:t>
            </w:r>
          </w:p>
        </w:tc>
      </w:tr>
      <w:tr>
        <w:trPr>
          <w:cantSplit/>
        </w:trPr>
        <w:tc>
          <w:tcPr>
            <w:tcW w:type="dxa" w:w="2088"/>
            <w:shd w:fill="FFFFFF"/>
            <w:tcMar>
              <w:top w:w="80" w:type="dxa"/>
              <w:start w:w="90" w:type="dxa"/>
              <w:bottom w:w="80" w:type="dxa"/>
              <w:end w:w="90" w:type="dxa"/>
            </w:tcMar>
            <w:vAlign w:val="top"/>
          </w:tcPr>
          <w:p>
            <w:pPr>
              <w:spacing w:after="0"/>
            </w:pPr>
            <w:r>
              <w:rPr>
                <w:color w:val="1F2933"/>
                <w:sz w:val="16"/>
              </w:rPr>
              <w:t>Member 3 - Systems</w:t>
            </w:r>
          </w:p>
        </w:tc>
        <w:tc>
          <w:tcPr>
            <w:tcW w:type="dxa" w:w="4968"/>
            <w:shd w:fill="FFFFFF"/>
            <w:tcMar>
              <w:top w:w="80" w:type="dxa"/>
              <w:start w:w="90" w:type="dxa"/>
              <w:bottom w:w="80" w:type="dxa"/>
              <w:end w:w="90" w:type="dxa"/>
            </w:tcMar>
            <w:vAlign w:val="top"/>
          </w:tcPr>
          <w:p>
            <w:pPr>
              <w:spacing w:after="0"/>
            </w:pPr>
            <w:r>
              <w:rPr>
                <w:color w:val="1F2933"/>
                <w:sz w:val="16"/>
              </w:rPr>
              <w:t>FastAPI, PostgreSQL, replay engine, React dashboard, evidence store, Docker, deployment</w:t>
            </w:r>
          </w:p>
        </w:tc>
        <w:tc>
          <w:tcPr>
            <w:tcW w:type="dxa" w:w="2880"/>
            <w:shd w:fill="FFFFFF"/>
            <w:tcMar>
              <w:top w:w="80" w:type="dxa"/>
              <w:start w:w="90" w:type="dxa"/>
              <w:bottom w:w="80" w:type="dxa"/>
              <w:end w:w="90" w:type="dxa"/>
            </w:tcMar>
            <w:vAlign w:val="top"/>
          </w:tcPr>
          <w:p>
            <w:pPr>
              <w:spacing w:after="0"/>
            </w:pPr>
            <w:r>
              <w:rPr>
                <w:color w:val="1F2933"/>
                <w:sz w:val="16"/>
              </w:rPr>
              <w:t>All members understand end-to-end software flow</w:t>
            </w:r>
          </w:p>
        </w:tc>
      </w:tr>
    </w:tbl>
    <w:p>
      <w:pPr>
        <w:spacing w:after="40"/>
      </w:pPr>
    </w:p>
    <w:p>
      <w:pPr>
        <w:pStyle w:val="Heading2"/>
        <w:keepNext/>
      </w:pPr>
      <w:r>
        <w:t>18.2 One-year roadmap with research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83A5A"/>
            <w:tcMar>
              <w:top w:w="80" w:type="dxa"/>
              <w:start w:w="90" w:type="dxa"/>
              <w:bottom w:w="80" w:type="dxa"/>
              <w:end w:w="90" w:type="dxa"/>
            </w:tcMar>
            <w:vAlign w:val="center"/>
          </w:tcPr>
          <w:p>
            <w:pPr>
              <w:jc w:val="left"/>
            </w:pPr>
            <w:r>
              <w:rPr>
                <w:b/>
                <w:color w:val="FFFFFF"/>
                <w:sz w:val="16"/>
              </w:rPr>
              <w:t>Phase</w:t>
            </w:r>
          </w:p>
        </w:tc>
        <w:tc>
          <w:tcPr>
            <w:tcW w:type="dxa" w:w="5256"/>
            <w:shd w:fill="183A5A"/>
            <w:tcMar>
              <w:top w:w="80" w:type="dxa"/>
              <w:start w:w="90" w:type="dxa"/>
              <w:bottom w:w="80" w:type="dxa"/>
              <w:end w:w="90" w:type="dxa"/>
            </w:tcMar>
            <w:vAlign w:val="center"/>
          </w:tcPr>
          <w:p>
            <w:pPr>
              <w:jc w:val="left"/>
            </w:pPr>
            <w:r>
              <w:rPr>
                <w:b/>
                <w:color w:val="FFFFFF"/>
                <w:sz w:val="16"/>
              </w:rPr>
              <w:t>Work</w:t>
            </w:r>
          </w:p>
        </w:tc>
        <w:tc>
          <w:tcPr>
            <w:tcW w:type="dxa" w:w="3384"/>
            <w:shd w:fill="183A5A"/>
            <w:tcMar>
              <w:top w:w="80" w:type="dxa"/>
              <w:start w:w="90" w:type="dxa"/>
              <w:bottom w:w="80" w:type="dxa"/>
              <w:end w:w="90" w:type="dxa"/>
            </w:tcMar>
            <w:vAlign w:val="center"/>
          </w:tcPr>
          <w:p>
            <w:pPr>
              <w:jc w:val="left"/>
            </w:pPr>
            <w:r>
              <w:rPr>
                <w:b/>
                <w:color w:val="FFFFFF"/>
                <w:sz w:val="16"/>
              </w:rPr>
              <w:t>Deliverable / gate</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M1-2</w:t>
            </w:r>
          </w:p>
        </w:tc>
        <w:tc>
          <w:tcPr>
            <w:tcW w:type="dxa" w:w="5256"/>
            <w:shd w:fill="FFFFFF"/>
            <w:tcMar>
              <w:top w:w="80" w:type="dxa"/>
              <w:start w:w="90" w:type="dxa"/>
              <w:bottom w:w="80" w:type="dxa"/>
              <w:end w:w="90" w:type="dxa"/>
            </w:tcMar>
            <w:vAlign w:val="top"/>
          </w:tcPr>
          <w:p>
            <w:pPr>
              <w:spacing w:after="0"/>
            </w:pPr>
            <w:r>
              <w:rPr>
                <w:color w:val="1F2933"/>
                <w:sz w:val="16"/>
              </w:rPr>
              <w:t>Literature matrix, schema, proxy data, baseline protocol</w:t>
            </w:r>
          </w:p>
        </w:tc>
        <w:tc>
          <w:tcPr>
            <w:tcW w:type="dxa" w:w="3384"/>
            <w:shd w:fill="FFFFFF"/>
            <w:tcMar>
              <w:top w:w="80" w:type="dxa"/>
              <w:start w:w="90" w:type="dxa"/>
              <w:bottom w:w="80" w:type="dxa"/>
              <w:end w:w="90" w:type="dxa"/>
            </w:tcMar>
            <w:vAlign w:val="top"/>
          </w:tcPr>
          <w:p>
            <w:pPr>
              <w:spacing w:after="0"/>
            </w:pPr>
            <w:r>
              <w:rPr>
                <w:color w:val="1F2933"/>
                <w:sz w:val="16"/>
              </w:rPr>
              <w:t>G1: reproducible baseline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M2-3</w:t>
            </w:r>
          </w:p>
        </w:tc>
        <w:tc>
          <w:tcPr>
            <w:tcW w:type="dxa" w:w="5256"/>
            <w:shd w:fill="F4F7F9"/>
            <w:tcMar>
              <w:top w:w="80" w:type="dxa"/>
              <w:start w:w="90" w:type="dxa"/>
              <w:bottom w:w="80" w:type="dxa"/>
              <w:end w:w="90" w:type="dxa"/>
            </w:tcMar>
            <w:vAlign w:val="top"/>
          </w:tcPr>
          <w:p>
            <w:pPr>
              <w:spacing w:after="0"/>
            </w:pPr>
            <w:r>
              <w:rPr>
                <w:color w:val="1F2933"/>
                <w:sz w:val="16"/>
              </w:rPr>
              <w:t>BurnIn-Bench L1-L6 v0; hardness audit; hidden split</w:t>
            </w:r>
          </w:p>
        </w:tc>
        <w:tc>
          <w:tcPr>
            <w:tcW w:type="dxa" w:w="3384"/>
            <w:shd w:fill="F4F7F9"/>
            <w:tcMar>
              <w:top w:w="80" w:type="dxa"/>
              <w:start w:w="90" w:type="dxa"/>
              <w:bottom w:w="80" w:type="dxa"/>
              <w:end w:w="90" w:type="dxa"/>
            </w:tcMar>
            <w:vAlign w:val="top"/>
          </w:tcPr>
          <w:p>
            <w:pPr>
              <w:spacing w:after="0"/>
            </w:pPr>
            <w:r>
              <w:rPr>
                <w:color w:val="1F2933"/>
                <w:sz w:val="16"/>
              </w:rPr>
              <w:t>G2: no trivial shortcut</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M3-4</w:t>
            </w:r>
          </w:p>
        </w:tc>
        <w:tc>
          <w:tcPr>
            <w:tcW w:type="dxa" w:w="5256"/>
            <w:shd w:fill="FFFFFF"/>
            <w:tcMar>
              <w:top w:w="80" w:type="dxa"/>
              <w:start w:w="90" w:type="dxa"/>
              <w:bottom w:w="80" w:type="dxa"/>
              <w:end w:w="90" w:type="dxa"/>
            </w:tcMar>
            <w:vAlign w:val="top"/>
          </w:tcPr>
          <w:p>
            <w:pPr>
              <w:spacing w:after="0"/>
            </w:pPr>
            <w:r>
              <w:rPr>
                <w:color w:val="1F2933"/>
                <w:sz w:val="16"/>
              </w:rPr>
              <w:t>Static + classical anomaly + early prediction baselines</w:t>
            </w:r>
          </w:p>
        </w:tc>
        <w:tc>
          <w:tcPr>
            <w:tcW w:type="dxa" w:w="3384"/>
            <w:shd w:fill="FFFFFF"/>
            <w:tcMar>
              <w:top w:w="80" w:type="dxa"/>
              <w:start w:w="90" w:type="dxa"/>
              <w:bottom w:w="80" w:type="dxa"/>
              <w:end w:w="90" w:type="dxa"/>
            </w:tcMar>
            <w:vAlign w:val="top"/>
          </w:tcPr>
          <w:p>
            <w:pPr>
              <w:spacing w:after="0"/>
            </w:pPr>
            <w:r>
              <w:rPr>
                <w:color w:val="1F2933"/>
                <w:sz w:val="16"/>
              </w:rPr>
              <w:t>G3: SIH-complete software prototype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M4-6</w:t>
            </w:r>
          </w:p>
        </w:tc>
        <w:tc>
          <w:tcPr>
            <w:tcW w:type="dxa" w:w="5256"/>
            <w:shd w:fill="F4F7F9"/>
            <w:tcMar>
              <w:top w:w="80" w:type="dxa"/>
              <w:start w:w="90" w:type="dxa"/>
              <w:bottom w:w="80" w:type="dxa"/>
              <w:end w:w="90" w:type="dxa"/>
            </w:tcMar>
            <w:vAlign w:val="top"/>
          </w:tcPr>
          <w:p>
            <w:pPr>
              <w:spacing w:after="0"/>
            </w:pPr>
            <w:r>
              <w:rPr>
                <w:color w:val="1F2933"/>
                <w:sz w:val="16"/>
              </w:rPr>
              <w:t>SSL / label-efficiency experiments</w:t>
            </w:r>
          </w:p>
        </w:tc>
        <w:tc>
          <w:tcPr>
            <w:tcW w:type="dxa" w:w="3384"/>
            <w:shd w:fill="F4F7F9"/>
            <w:tcMar>
              <w:top w:w="80" w:type="dxa"/>
              <w:start w:w="90" w:type="dxa"/>
              <w:bottom w:w="80" w:type="dxa"/>
              <w:end w:w="90" w:type="dxa"/>
            </w:tcMar>
            <w:vAlign w:val="top"/>
          </w:tcPr>
          <w:p>
            <w:pPr>
              <w:spacing w:after="0"/>
            </w:pPr>
            <w:r>
              <w:rPr>
                <w:color w:val="1F2933"/>
                <w:sz w:val="16"/>
              </w:rPr>
              <w:t>G4: evidence-based SSL decision</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M6-7</w:t>
            </w:r>
          </w:p>
        </w:tc>
        <w:tc>
          <w:tcPr>
            <w:tcW w:type="dxa" w:w="5256"/>
            <w:shd w:fill="FFFFFF"/>
            <w:tcMar>
              <w:top w:w="80" w:type="dxa"/>
              <w:start w:w="90" w:type="dxa"/>
              <w:bottom w:w="80" w:type="dxa"/>
              <w:end w:w="90" w:type="dxa"/>
            </w:tcMar>
            <w:vAlign w:val="top"/>
          </w:tcPr>
          <w:p>
            <w:pPr>
              <w:spacing w:after="0"/>
            </w:pPr>
            <w:r>
              <w:rPr>
                <w:color w:val="1F2933"/>
                <w:sz w:val="16"/>
              </w:rPr>
              <w:t>Unseen-lot + shift ladder</w:t>
            </w:r>
          </w:p>
        </w:tc>
        <w:tc>
          <w:tcPr>
            <w:tcW w:type="dxa" w:w="3384"/>
            <w:shd w:fill="FFFFFF"/>
            <w:tcMar>
              <w:top w:w="80" w:type="dxa"/>
              <w:start w:w="90" w:type="dxa"/>
              <w:bottom w:w="80" w:type="dxa"/>
              <w:end w:w="90" w:type="dxa"/>
            </w:tcMar>
            <w:vAlign w:val="top"/>
          </w:tcPr>
          <w:p>
            <w:pPr>
              <w:spacing w:after="0"/>
            </w:pPr>
            <w:r>
              <w:rPr>
                <w:color w:val="1F2933"/>
                <w:sz w:val="16"/>
              </w:rPr>
              <w:t>G5: cross-lot robustness dataset</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M7-8</w:t>
            </w:r>
          </w:p>
        </w:tc>
        <w:tc>
          <w:tcPr>
            <w:tcW w:type="dxa" w:w="5256"/>
            <w:shd w:fill="F4F7F9"/>
            <w:tcMar>
              <w:top w:w="80" w:type="dxa"/>
              <w:start w:w="90" w:type="dxa"/>
              <w:bottom w:w="80" w:type="dxa"/>
              <w:end w:w="90" w:type="dxa"/>
            </w:tcMar>
            <w:vAlign w:val="top"/>
          </w:tcPr>
          <w:p>
            <w:pPr>
              <w:spacing w:after="0"/>
            </w:pPr>
            <w:r>
              <w:rPr>
                <w:color w:val="1F2933"/>
                <w:sz w:val="16"/>
              </w:rPr>
              <w:t>CQR + Split Conformal + calibration protocol</w:t>
            </w:r>
          </w:p>
        </w:tc>
        <w:tc>
          <w:tcPr>
            <w:tcW w:type="dxa" w:w="3384"/>
            <w:shd w:fill="F4F7F9"/>
            <w:tcMar>
              <w:top w:w="80" w:type="dxa"/>
              <w:start w:w="90" w:type="dxa"/>
              <w:bottom w:w="80" w:type="dxa"/>
              <w:end w:w="90" w:type="dxa"/>
            </w:tcMar>
            <w:vAlign w:val="top"/>
          </w:tcPr>
          <w:p>
            <w:pPr>
              <w:spacing w:after="0"/>
            </w:pPr>
            <w:r>
              <w:rPr>
                <w:color w:val="1F2933"/>
                <w:sz w:val="16"/>
              </w:rPr>
              <w:t>G6: in-distribution calibration audit</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M8-9</w:t>
            </w:r>
          </w:p>
        </w:tc>
        <w:tc>
          <w:tcPr>
            <w:tcW w:type="dxa" w:w="5256"/>
            <w:shd w:fill="FFFFFF"/>
            <w:tcMar>
              <w:top w:w="80" w:type="dxa"/>
              <w:start w:w="90" w:type="dxa"/>
              <w:bottom w:w="80" w:type="dxa"/>
              <w:end w:w="90" w:type="dxa"/>
            </w:tcMar>
            <w:vAlign w:val="top"/>
          </w:tcPr>
          <w:p>
            <w:pPr>
              <w:spacing w:after="0"/>
            </w:pPr>
            <w:r>
              <w:rPr>
                <w:color w:val="1F2933"/>
                <w:sz w:val="16"/>
              </w:rPr>
              <w:t>Core conformal-under-shift experiment</w:t>
            </w:r>
          </w:p>
        </w:tc>
        <w:tc>
          <w:tcPr>
            <w:tcW w:type="dxa" w:w="3384"/>
            <w:shd w:fill="FFFFFF"/>
            <w:tcMar>
              <w:top w:w="80" w:type="dxa"/>
              <w:start w:w="90" w:type="dxa"/>
              <w:bottom w:w="80" w:type="dxa"/>
              <w:end w:w="90" w:type="dxa"/>
            </w:tcMar>
            <w:vAlign w:val="top"/>
          </w:tcPr>
          <w:p>
            <w:pPr>
              <w:spacing w:after="0"/>
            </w:pPr>
            <w:r>
              <w:rPr>
                <w:color w:val="1F2933"/>
                <w:sz w:val="16"/>
              </w:rPr>
              <w:t>G7: primary paper result package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M9-10</w:t>
            </w:r>
          </w:p>
        </w:tc>
        <w:tc>
          <w:tcPr>
            <w:tcW w:type="dxa" w:w="5256"/>
            <w:shd w:fill="F4F7F9"/>
            <w:tcMar>
              <w:top w:w="80" w:type="dxa"/>
              <w:start w:w="90" w:type="dxa"/>
              <w:bottom w:w="80" w:type="dxa"/>
              <w:end w:w="90" w:type="dxa"/>
            </w:tcMar>
            <w:vAlign w:val="top"/>
          </w:tcPr>
          <w:p>
            <w:pPr>
              <w:spacing w:after="0"/>
            </w:pPr>
            <w:r>
              <w:rPr>
                <w:color w:val="1F2933"/>
                <w:sz w:val="16"/>
              </w:rPr>
              <w:t>Explainability + evidence compiler + optional LLM support</w:t>
            </w:r>
          </w:p>
        </w:tc>
        <w:tc>
          <w:tcPr>
            <w:tcW w:type="dxa" w:w="3384"/>
            <w:shd w:fill="F4F7F9"/>
            <w:tcMar>
              <w:top w:w="80" w:type="dxa"/>
              <w:start w:w="90" w:type="dxa"/>
              <w:bottom w:w="80" w:type="dxa"/>
              <w:end w:w="90" w:type="dxa"/>
            </w:tcMar>
            <w:vAlign w:val="top"/>
          </w:tcPr>
          <w:p>
            <w:pPr>
              <w:spacing w:after="0"/>
            </w:pPr>
            <w:r>
              <w:rPr>
                <w:color w:val="1F2933"/>
                <w:sz w:val="16"/>
              </w:rPr>
              <w:t>G8: supporting-layer utility / faithfulness</w:t>
            </w:r>
          </w:p>
        </w:tc>
      </w:tr>
      <w:tr>
        <w:trPr>
          <w:cantSplit/>
        </w:trPr>
        <w:tc>
          <w:tcPr>
            <w:tcW w:type="dxa" w:w="1152"/>
            <w:shd w:fill="FFFFFF"/>
            <w:tcMar>
              <w:top w:w="80" w:type="dxa"/>
              <w:start w:w="90" w:type="dxa"/>
              <w:bottom w:w="80" w:type="dxa"/>
              <w:end w:w="90" w:type="dxa"/>
            </w:tcMar>
            <w:vAlign w:val="top"/>
          </w:tcPr>
          <w:p>
            <w:pPr>
              <w:spacing w:after="0"/>
            </w:pPr>
            <w:r>
              <w:rPr>
                <w:color w:val="1F2933"/>
                <w:sz w:val="16"/>
              </w:rPr>
              <w:t>M10-11</w:t>
            </w:r>
          </w:p>
        </w:tc>
        <w:tc>
          <w:tcPr>
            <w:tcW w:type="dxa" w:w="5256"/>
            <w:shd w:fill="FFFFFF"/>
            <w:tcMar>
              <w:top w:w="80" w:type="dxa"/>
              <w:start w:w="90" w:type="dxa"/>
              <w:bottom w:w="80" w:type="dxa"/>
              <w:end w:w="90" w:type="dxa"/>
            </w:tcMar>
            <w:vAlign w:val="top"/>
          </w:tcPr>
          <w:p>
            <w:pPr>
              <w:spacing w:after="0"/>
            </w:pPr>
            <w:r>
              <w:rPr>
                <w:color w:val="1F2933"/>
                <w:sz w:val="16"/>
              </w:rPr>
              <w:t>Final hidden tests, ablations, statistics, system freeze</w:t>
            </w:r>
          </w:p>
        </w:tc>
        <w:tc>
          <w:tcPr>
            <w:tcW w:type="dxa" w:w="3384"/>
            <w:shd w:fill="FFFFFF"/>
            <w:tcMar>
              <w:top w:w="80" w:type="dxa"/>
              <w:start w:w="90" w:type="dxa"/>
              <w:bottom w:w="80" w:type="dxa"/>
              <w:end w:w="90" w:type="dxa"/>
            </w:tcMar>
            <w:vAlign w:val="top"/>
          </w:tcPr>
          <w:p>
            <w:pPr>
              <w:spacing w:after="0"/>
            </w:pPr>
            <w:r>
              <w:rPr>
                <w:color w:val="1F2933"/>
                <w:sz w:val="16"/>
              </w:rPr>
              <w:t>G9: frozen reproducible result package</w:t>
            </w:r>
          </w:p>
        </w:tc>
      </w:tr>
      <w:tr>
        <w:trPr>
          <w:cantSplit/>
        </w:trPr>
        <w:tc>
          <w:tcPr>
            <w:tcW w:type="dxa" w:w="1152"/>
            <w:shd w:fill="F4F7F9"/>
            <w:tcMar>
              <w:top w:w="80" w:type="dxa"/>
              <w:start w:w="90" w:type="dxa"/>
              <w:bottom w:w="80" w:type="dxa"/>
              <w:end w:w="90" w:type="dxa"/>
            </w:tcMar>
            <w:vAlign w:val="top"/>
          </w:tcPr>
          <w:p>
            <w:pPr>
              <w:spacing w:after="0"/>
            </w:pPr>
            <w:r>
              <w:rPr>
                <w:color w:val="1F2933"/>
                <w:sz w:val="16"/>
              </w:rPr>
              <w:t>M11-12</w:t>
            </w:r>
          </w:p>
        </w:tc>
        <w:tc>
          <w:tcPr>
            <w:tcW w:type="dxa" w:w="5256"/>
            <w:shd w:fill="F4F7F9"/>
            <w:tcMar>
              <w:top w:w="80" w:type="dxa"/>
              <w:start w:w="90" w:type="dxa"/>
              <w:bottom w:w="80" w:type="dxa"/>
              <w:end w:w="90" w:type="dxa"/>
            </w:tcMar>
            <w:vAlign w:val="top"/>
          </w:tcPr>
          <w:p>
            <w:pPr>
              <w:spacing w:after="0"/>
            </w:pPr>
            <w:r>
              <w:rPr>
                <w:color w:val="1F2933"/>
                <w:sz w:val="16"/>
              </w:rPr>
              <w:t>Paper drafting, artifacts, replication package, submission preparation</w:t>
            </w:r>
          </w:p>
        </w:tc>
        <w:tc>
          <w:tcPr>
            <w:tcW w:type="dxa" w:w="3384"/>
            <w:shd w:fill="F4F7F9"/>
            <w:tcMar>
              <w:top w:w="80" w:type="dxa"/>
              <w:start w:w="90" w:type="dxa"/>
              <w:bottom w:w="80" w:type="dxa"/>
              <w:end w:w="90" w:type="dxa"/>
            </w:tcMar>
            <w:vAlign w:val="top"/>
          </w:tcPr>
          <w:p>
            <w:pPr>
              <w:spacing w:after="0"/>
            </w:pPr>
            <w:r>
              <w:rPr>
                <w:color w:val="1F2933"/>
                <w:sz w:val="16"/>
              </w:rPr>
              <w:t>G10: final manuscript + release</w:t>
            </w:r>
          </w:p>
        </w:tc>
      </w:tr>
    </w:tbl>
    <w:p>
      <w:pPr>
        <w:spacing w:after="40"/>
      </w:pPr>
    </w:p>
    <w:p>
      <w:pPr>
        <w:pStyle w:val="Heading2"/>
        <w:keepNext/>
      </w:pPr>
      <w:r>
        <w:t>18.3 Weekly discipline</w:t>
      </w:r>
    </w:p>
    <w:p>
      <w:pPr>
        <w:pStyle w:val="ListBullet"/>
        <w:spacing w:after="40"/>
        <w:ind w:left="317"/>
      </w:pPr>
      <w:r>
        <w:t>One reproducible experiment, one written result, one unresolved question every week.</w:t>
      </w:r>
    </w:p>
    <w:p>
      <w:pPr>
        <w:pStyle w:val="ListBullet"/>
        <w:spacing w:after="40"/>
        <w:ind w:left="317"/>
      </w:pPr>
      <w:r>
        <w:t>Maintain a claim ledger: fact, hypothesis, result, limitation.</w:t>
      </w:r>
    </w:p>
    <w:p>
      <w:pPr>
        <w:pStyle w:val="ListBullet"/>
        <w:spacing w:after="40"/>
        <w:ind w:left="317"/>
      </w:pPr>
      <w:r>
        <w:t>Keep the hidden test set untouched until the protocol is frozen.</w:t>
      </w:r>
    </w:p>
    <w:p>
      <w:pPr>
        <w:pStyle w:val="ListBullet"/>
        <w:spacing w:after="40"/>
        <w:ind w:left="317"/>
      </w:pPr>
      <w:r>
        <w:t>During paper drafting, revisit the literature and tighten novelty language to match the actual final results.</w:t>
      </w:r>
    </w:p>
    <w:p>
      <w:pPr>
        <w:pStyle w:val="Heading1"/>
        <w:keepNext/>
      </w:pPr>
      <w:r>
        <w:t>19. Publication Strategy and Venue Fit</w:t>
      </w:r>
    </w:p>
    <w:p>
      <w:pPr>
        <w:spacing w:after="100" w:line="254" w:lineRule="auto"/>
      </w:pPr>
      <w:r>
        <w:t>The project should be positioned as reliability-oriented machine learning with a controlled benchmark and rigorous evaluation, not as a generic “AI dashboard.” Publication remains an outcome contingent on the final evidence; the blueprint does not assume acceptance or rank venues by desirability.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83A5A"/>
            <w:tcMar>
              <w:top w:w="80" w:type="dxa"/>
              <w:start w:w="90" w:type="dxa"/>
              <w:bottom w:w="80" w:type="dxa"/>
              <w:end w:w="90" w:type="dxa"/>
            </w:tcMar>
            <w:vAlign w:val="center"/>
          </w:tcPr>
          <w:p>
            <w:pPr>
              <w:jc w:val="left"/>
            </w:pPr>
            <w:r>
              <w:rPr>
                <w:b/>
                <w:color w:val="FFFFFF"/>
                <w:sz w:val="16"/>
              </w:rPr>
              <w:t>Venue / route</w:t>
            </w:r>
          </w:p>
        </w:tc>
        <w:tc>
          <w:tcPr>
            <w:tcW w:type="dxa" w:w="4176"/>
            <w:shd w:fill="183A5A"/>
            <w:tcMar>
              <w:top w:w="80" w:type="dxa"/>
              <w:start w:w="90" w:type="dxa"/>
              <w:bottom w:w="80" w:type="dxa"/>
              <w:end w:w="90" w:type="dxa"/>
            </w:tcMar>
            <w:vAlign w:val="center"/>
          </w:tcPr>
          <w:p>
            <w:pPr>
              <w:jc w:val="left"/>
            </w:pPr>
            <w:r>
              <w:rPr>
                <w:b/>
                <w:color w:val="FFFFFF"/>
                <w:sz w:val="16"/>
              </w:rPr>
              <w:t>Fit if the final paper emphasizes</w:t>
            </w:r>
          </w:p>
        </w:tc>
        <w:tc>
          <w:tcPr>
            <w:tcW w:type="dxa" w:w="3312"/>
            <w:shd w:fill="183A5A"/>
            <w:tcMar>
              <w:top w:w="80" w:type="dxa"/>
              <w:start w:w="90" w:type="dxa"/>
              <w:bottom w:w="80" w:type="dxa"/>
              <w:end w:w="90" w:type="dxa"/>
            </w:tcMar>
            <w:vAlign w:val="center"/>
          </w:tcPr>
          <w:p>
            <w:pPr>
              <w:jc w:val="left"/>
            </w:pPr>
            <w:r>
              <w:rPr>
                <w:b/>
                <w:color w:val="FFFFFF"/>
                <w:sz w:val="16"/>
              </w:rPr>
              <w:t>Needed evidence</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IEEE Transactions on Reliability</w:t>
            </w:r>
          </w:p>
        </w:tc>
        <w:tc>
          <w:tcPr>
            <w:tcW w:type="dxa" w:w="4176"/>
            <w:shd w:fill="FFFFFF"/>
            <w:tcMar>
              <w:top w:w="80" w:type="dxa"/>
              <w:start w:w="90" w:type="dxa"/>
              <w:bottom w:w="80" w:type="dxa"/>
              <w:end w:w="90" w:type="dxa"/>
            </w:tcMar>
            <w:vAlign w:val="top"/>
          </w:tcPr>
          <w:p>
            <w:pPr>
              <w:spacing w:after="0"/>
            </w:pPr>
            <w:r>
              <w:rPr>
                <w:color w:val="1F2933"/>
                <w:sz w:val="16"/>
              </w:rPr>
              <w:t>Reliability-oriented screening, uncertainty, accelerated ageing priors, risk-sensitive decision methodology</w:t>
            </w:r>
          </w:p>
        </w:tc>
        <w:tc>
          <w:tcPr>
            <w:tcW w:type="dxa" w:w="3312"/>
            <w:shd w:fill="FFFFFF"/>
            <w:tcMar>
              <w:top w:w="80" w:type="dxa"/>
              <w:start w:w="90" w:type="dxa"/>
              <w:bottom w:w="80" w:type="dxa"/>
              <w:end w:w="90" w:type="dxa"/>
            </w:tcMar>
            <w:vAlign w:val="top"/>
          </w:tcPr>
          <w:p>
            <w:pPr>
              <w:spacing w:after="0"/>
            </w:pPr>
            <w:r>
              <w:rPr>
                <w:color w:val="1F2933"/>
                <w:sz w:val="16"/>
              </w:rPr>
              <w:t>Strong reliability framing, rigorous uncertainty / risk analysis, credible validation and limitations</w:t>
            </w:r>
          </w:p>
        </w:tc>
      </w:tr>
      <w:tr>
        <w:trPr>
          <w:cantSplit/>
        </w:trPr>
        <w:tc>
          <w:tcPr>
            <w:tcW w:type="dxa" w:w="2592"/>
            <w:shd w:fill="F4F7F9"/>
            <w:tcMar>
              <w:top w:w="80" w:type="dxa"/>
              <w:start w:w="90" w:type="dxa"/>
              <w:bottom w:w="80" w:type="dxa"/>
              <w:end w:w="90" w:type="dxa"/>
            </w:tcMar>
            <w:vAlign w:val="top"/>
          </w:tcPr>
          <w:p>
            <w:pPr>
              <w:spacing w:after="0"/>
            </w:pPr>
            <w:r>
              <w:rPr>
                <w:color w:val="1F2933"/>
                <w:sz w:val="16"/>
              </w:rPr>
              <w:t>IEEE Transactions on Semiconductor Manufacturing</w:t>
            </w:r>
          </w:p>
        </w:tc>
        <w:tc>
          <w:tcPr>
            <w:tcW w:type="dxa" w:w="4176"/>
            <w:shd w:fill="F4F7F9"/>
            <w:tcMar>
              <w:top w:w="80" w:type="dxa"/>
              <w:start w:w="90" w:type="dxa"/>
              <w:bottom w:w="80" w:type="dxa"/>
              <w:end w:w="90" w:type="dxa"/>
            </w:tcMar>
            <w:vAlign w:val="top"/>
          </w:tcPr>
          <w:p>
            <w:pPr>
              <w:spacing w:after="0"/>
            </w:pPr>
            <w:r>
              <w:rPr>
                <w:color w:val="1F2933"/>
                <w:sz w:val="16"/>
              </w:rPr>
              <w:t>Semiconductor manufacturing / screening analytics</w:t>
            </w:r>
          </w:p>
        </w:tc>
        <w:tc>
          <w:tcPr>
            <w:tcW w:type="dxa" w:w="3312"/>
            <w:shd w:fill="F4F7F9"/>
            <w:tcMar>
              <w:top w:w="80" w:type="dxa"/>
              <w:start w:w="90" w:type="dxa"/>
              <w:bottom w:w="80" w:type="dxa"/>
              <w:end w:w="90" w:type="dxa"/>
            </w:tcMar>
            <w:vAlign w:val="top"/>
          </w:tcPr>
          <w:p>
            <w:pPr>
              <w:spacing w:after="0"/>
            </w:pPr>
            <w:r>
              <w:rPr>
                <w:color w:val="1F2933"/>
                <w:sz w:val="16"/>
              </w:rPr>
              <w:t>Strong semiconductor manufacturing interpretation and benchmark / data rigor</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Reliability Engineering &amp; System Safety</w:t>
            </w:r>
          </w:p>
        </w:tc>
        <w:tc>
          <w:tcPr>
            <w:tcW w:type="dxa" w:w="4176"/>
            <w:shd w:fill="FFFFFF"/>
            <w:tcMar>
              <w:top w:w="80" w:type="dxa"/>
              <w:start w:w="90" w:type="dxa"/>
              <w:bottom w:w="80" w:type="dxa"/>
              <w:end w:w="90" w:type="dxa"/>
            </w:tcMar>
            <w:vAlign w:val="top"/>
          </w:tcPr>
          <w:p>
            <w:pPr>
              <w:spacing w:after="0"/>
            </w:pPr>
            <w:r>
              <w:rPr>
                <w:color w:val="1F2933"/>
                <w:sz w:val="16"/>
              </w:rPr>
              <w:t>Reliability + trustworthy ML + selective decision making</w:t>
            </w:r>
          </w:p>
        </w:tc>
        <w:tc>
          <w:tcPr>
            <w:tcW w:type="dxa" w:w="3312"/>
            <w:shd w:fill="FFFFFF"/>
            <w:tcMar>
              <w:top w:w="80" w:type="dxa"/>
              <w:start w:w="90" w:type="dxa"/>
              <w:bottom w:w="80" w:type="dxa"/>
              <w:end w:w="90" w:type="dxa"/>
            </w:tcMar>
            <w:vAlign w:val="top"/>
          </w:tcPr>
          <w:p>
            <w:pPr>
              <w:spacing w:after="0"/>
            </w:pPr>
            <w:r>
              <w:rPr>
                <w:color w:val="1F2933"/>
                <w:sz w:val="16"/>
              </w:rPr>
              <w:t>Clear reliability decision formulation and robust uncertainty analysis</w:t>
            </w:r>
          </w:p>
        </w:tc>
      </w:tr>
      <w:tr>
        <w:trPr>
          <w:cantSplit/>
        </w:trPr>
        <w:tc>
          <w:tcPr>
            <w:tcW w:type="dxa" w:w="2592"/>
            <w:shd w:fill="F4F7F9"/>
            <w:tcMar>
              <w:top w:w="80" w:type="dxa"/>
              <w:start w:w="90" w:type="dxa"/>
              <w:bottom w:w="80" w:type="dxa"/>
              <w:end w:w="90" w:type="dxa"/>
            </w:tcMar>
            <w:vAlign w:val="top"/>
          </w:tcPr>
          <w:p>
            <w:pPr>
              <w:spacing w:after="0"/>
            </w:pPr>
            <w:r>
              <w:rPr>
                <w:color w:val="1F2933"/>
                <w:sz w:val="16"/>
              </w:rPr>
              <w:t>Journal of Manufacturing Systems</w:t>
            </w:r>
          </w:p>
        </w:tc>
        <w:tc>
          <w:tcPr>
            <w:tcW w:type="dxa" w:w="4176"/>
            <w:shd w:fill="F4F7F9"/>
            <w:tcMar>
              <w:top w:w="80" w:type="dxa"/>
              <w:start w:w="90" w:type="dxa"/>
              <w:bottom w:w="80" w:type="dxa"/>
              <w:end w:w="90" w:type="dxa"/>
            </w:tcMar>
            <w:vAlign w:val="top"/>
          </w:tcPr>
          <w:p>
            <w:pPr>
              <w:spacing w:after="0"/>
            </w:pPr>
            <w:r>
              <w:rPr>
                <w:color w:val="1F2933"/>
                <w:sz w:val="16"/>
              </w:rPr>
              <w:t>Industrial AI software system + research evaluation</w:t>
            </w:r>
          </w:p>
        </w:tc>
        <w:tc>
          <w:tcPr>
            <w:tcW w:type="dxa" w:w="3312"/>
            <w:shd w:fill="F4F7F9"/>
            <w:tcMar>
              <w:top w:w="80" w:type="dxa"/>
              <w:start w:w="90" w:type="dxa"/>
              <w:bottom w:w="80" w:type="dxa"/>
              <w:end w:w="90" w:type="dxa"/>
            </w:tcMar>
            <w:vAlign w:val="top"/>
          </w:tcPr>
          <w:p>
            <w:pPr>
              <w:spacing w:after="0"/>
            </w:pPr>
            <w:r>
              <w:rPr>
                <w:color w:val="1F2933"/>
                <w:sz w:val="16"/>
              </w:rPr>
              <w:t>Systems contribution plus nontrivial empirical result</w:t>
            </w:r>
          </w:p>
        </w:tc>
      </w:tr>
      <w:tr>
        <w:trPr>
          <w:cantSplit/>
        </w:trPr>
        <w:tc>
          <w:tcPr>
            <w:tcW w:type="dxa" w:w="2592"/>
            <w:shd w:fill="FFFFFF"/>
            <w:tcMar>
              <w:top w:w="80" w:type="dxa"/>
              <w:start w:w="90" w:type="dxa"/>
              <w:bottom w:w="80" w:type="dxa"/>
              <w:end w:w="90" w:type="dxa"/>
            </w:tcMar>
            <w:vAlign w:val="top"/>
          </w:tcPr>
          <w:p>
            <w:pPr>
              <w:spacing w:after="0"/>
            </w:pPr>
            <w:r>
              <w:rPr>
                <w:color w:val="1F2933"/>
                <w:sz w:val="16"/>
              </w:rPr>
              <w:t>General ML conference route</w:t>
            </w:r>
          </w:p>
        </w:tc>
        <w:tc>
          <w:tcPr>
            <w:tcW w:type="dxa" w:w="4176"/>
            <w:shd w:fill="FFFFFF"/>
            <w:tcMar>
              <w:top w:w="80" w:type="dxa"/>
              <w:start w:w="90" w:type="dxa"/>
              <w:bottom w:w="80" w:type="dxa"/>
              <w:end w:w="90" w:type="dxa"/>
            </w:tcMar>
            <w:vAlign w:val="top"/>
          </w:tcPr>
          <w:p>
            <w:pPr>
              <w:spacing w:after="0"/>
            </w:pPr>
            <w:r>
              <w:rPr>
                <w:color w:val="1F2933"/>
                <w:sz w:val="16"/>
              </w:rPr>
              <w:t>A method that is demonstrably general beyond SIH</w:t>
            </w:r>
          </w:p>
        </w:tc>
        <w:tc>
          <w:tcPr>
            <w:tcW w:type="dxa" w:w="3312"/>
            <w:shd w:fill="FFFFFF"/>
            <w:tcMar>
              <w:top w:w="80" w:type="dxa"/>
              <w:start w:w="90" w:type="dxa"/>
              <w:bottom w:w="80" w:type="dxa"/>
              <w:end w:w="90" w:type="dxa"/>
            </w:tcMar>
            <w:vAlign w:val="top"/>
          </w:tcPr>
          <w:p>
            <w:pPr>
              <w:spacing w:after="0"/>
            </w:pPr>
            <w:r>
              <w:rPr>
                <w:color w:val="1F2933"/>
                <w:sz w:val="16"/>
              </w:rPr>
              <w:t>Broad datasets / tasks and a general methodological contribution</w:t>
            </w:r>
          </w:p>
        </w:tc>
      </w:tr>
    </w:tbl>
    <w:p>
      <w:pPr>
        <w:spacing w:after="40"/>
      </w:pPr>
    </w:p>
    <w:p>
      <w:pPr>
        <w:pStyle w:val="Heading2"/>
        <w:keepNext/>
      </w:pPr>
      <w:r>
        <w:t>19.1 Literature signals that shape the contribution</w:t>
      </w:r>
    </w:p>
    <w:p>
      <w:pPr>
        <w:pStyle w:val="ListBullet"/>
        <w:spacing w:after="40"/>
        <w:ind w:left="317"/>
      </w:pPr>
      <w:r>
        <w:t>2025 burn-in work already demonstrates data-driven semiconductor quality prediction; the paper must be narrower and methodologically distinct. [R2]</w:t>
      </w:r>
    </w:p>
    <w:p>
      <w:pPr>
        <w:pStyle w:val="ListBullet"/>
        <w:spacing w:after="40"/>
        <w:ind w:left="317"/>
      </w:pPr>
      <w:r>
        <w:t>CQR already provides a principled conformal regression method; our contribution is not inventing CQR, but evaluating task-specific uncertainty for staged burn-in drift and its degradation under cross-lot shift. [R10]</w:t>
      </w:r>
    </w:p>
    <w:p>
      <w:pPr>
        <w:pStyle w:val="ListBullet"/>
        <w:spacing w:after="40"/>
        <w:ind w:left="317"/>
      </w:pPr>
      <w:r>
        <w:t>Recent time-series conformal research emphasizes that non-exchangeable settings require care; our shift experiment therefore measures empirical calibration behavior rather than overstating guarantees. [R13][R14]</w:t>
      </w:r>
    </w:p>
    <w:p>
      <w:pPr>
        <w:pStyle w:val="ListBullet"/>
        <w:spacing w:after="40"/>
        <w:ind w:left="317"/>
      </w:pPr>
      <w:r>
        <w:t>Semiconductor reliability models provide useful physical priors, but those priors have domain-specific assumptions; the benchmark should expose them rather than hide them. [R7][R8][R9]</w:t>
      </w:r>
    </w:p>
    <w:p>
      <w:pPr>
        <w:pStyle w:val="ListBullet"/>
        <w:spacing w:after="40"/>
        <w:ind w:left="317"/>
      </w:pPr>
      <w:r>
        <w:t>Supporting agentic diagnosis should be treated as an application demonstration because industrial LLM diagnosis and root-cause systems are already active research areas.</w:t>
      </w:r>
    </w:p>
    <w:p>
      <w:pPr>
        <w:pStyle w:val="Heading2"/>
        <w:keepNext/>
      </w:pPr>
      <w:r>
        <w:t>19.2 Contribution ladder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83A5A"/>
            <w:tcMar>
              <w:top w:w="80" w:type="dxa"/>
              <w:start w:w="90" w:type="dxa"/>
              <w:bottom w:w="80" w:type="dxa"/>
              <w:end w:w="90" w:type="dxa"/>
            </w:tcMar>
            <w:vAlign w:val="center"/>
          </w:tcPr>
          <w:p>
            <w:pPr>
              <w:jc w:val="left"/>
            </w:pPr>
            <w:r>
              <w:rPr>
                <w:b/>
                <w:color w:val="FFFFFF"/>
                <w:sz w:val="16"/>
              </w:rPr>
              <w:t>Level</w:t>
            </w:r>
          </w:p>
        </w:tc>
        <w:tc>
          <w:tcPr>
            <w:tcW w:type="dxa" w:w="6120"/>
            <w:shd w:fill="183A5A"/>
            <w:tcMar>
              <w:top w:w="80" w:type="dxa"/>
              <w:start w:w="90" w:type="dxa"/>
              <w:bottom w:w="80" w:type="dxa"/>
              <w:end w:w="90" w:type="dxa"/>
            </w:tcMar>
            <w:vAlign w:val="center"/>
          </w:tcPr>
          <w:p>
            <w:pPr>
              <w:jc w:val="left"/>
            </w:pPr>
            <w:r>
              <w:rPr>
                <w:b/>
                <w:color w:val="FFFFFF"/>
                <w:sz w:val="16"/>
              </w:rPr>
              <w:t>Possible final contribution</w:t>
            </w:r>
          </w:p>
        </w:tc>
        <w:tc>
          <w:tcPr>
            <w:tcW w:type="dxa" w:w="2664"/>
            <w:shd w:fill="183A5A"/>
            <w:tcMar>
              <w:top w:w="80" w:type="dxa"/>
              <w:start w:w="90" w:type="dxa"/>
              <w:bottom w:w="80" w:type="dxa"/>
              <w:end w:w="90" w:type="dxa"/>
            </w:tcMar>
            <w:vAlign w:val="center"/>
          </w:tcPr>
          <w:p>
            <w:pPr>
              <w:jc w:val="left"/>
            </w:pPr>
            <w:r>
              <w:rPr>
                <w:b/>
                <w:color w:val="FFFFFF"/>
                <w:sz w:val="16"/>
              </w:rPr>
              <w:t>What would be required</w:t>
            </w:r>
          </w:p>
        </w:tc>
      </w:tr>
      <w:tr>
        <w:trPr>
          <w:cantSplit/>
        </w:trPr>
        <w:tc>
          <w:tcPr>
            <w:tcW w:type="dxa" w:w="1008"/>
            <w:shd w:fill="FFFFFF"/>
            <w:tcMar>
              <w:top w:w="80" w:type="dxa"/>
              <w:start w:w="90" w:type="dxa"/>
              <w:bottom w:w="80" w:type="dxa"/>
              <w:end w:w="90" w:type="dxa"/>
            </w:tcMar>
            <w:vAlign w:val="top"/>
          </w:tcPr>
          <w:p>
            <w:pPr>
              <w:spacing w:after="0"/>
            </w:pPr>
            <w:r>
              <w:rPr>
                <w:color w:val="1F2933"/>
                <w:sz w:val="16"/>
              </w:rPr>
              <w:t>L0</w:t>
            </w:r>
          </w:p>
        </w:tc>
        <w:tc>
          <w:tcPr>
            <w:tcW w:type="dxa" w:w="6120"/>
            <w:shd w:fill="FFFFFF"/>
            <w:tcMar>
              <w:top w:w="80" w:type="dxa"/>
              <w:start w:w="90" w:type="dxa"/>
              <w:bottom w:w="80" w:type="dxa"/>
              <w:end w:w="90" w:type="dxa"/>
            </w:tcMar>
            <w:vAlign w:val="top"/>
          </w:tcPr>
          <w:p>
            <w:pPr>
              <w:spacing w:after="0"/>
            </w:pPr>
            <w:r>
              <w:rPr>
                <w:color w:val="1F2933"/>
                <w:sz w:val="16"/>
              </w:rPr>
              <w:t>Working SIH software</w:t>
            </w:r>
          </w:p>
        </w:tc>
        <w:tc>
          <w:tcPr>
            <w:tcW w:type="dxa" w:w="2664"/>
            <w:shd w:fill="FFFFFF"/>
            <w:tcMar>
              <w:top w:w="80" w:type="dxa"/>
              <w:start w:w="90" w:type="dxa"/>
              <w:bottom w:w="80" w:type="dxa"/>
              <w:end w:w="90" w:type="dxa"/>
            </w:tcMar>
            <w:vAlign w:val="top"/>
          </w:tcPr>
          <w:p>
            <w:pPr>
              <w:spacing w:after="0"/>
            </w:pPr>
            <w:r>
              <w:rPr>
                <w:color w:val="1F2933"/>
                <w:sz w:val="16"/>
              </w:rPr>
              <w:t>Functional prototype; not a research claim</w:t>
            </w:r>
          </w:p>
        </w:tc>
      </w:tr>
      <w:tr>
        <w:trPr>
          <w:cantSplit/>
        </w:trPr>
        <w:tc>
          <w:tcPr>
            <w:tcW w:type="dxa" w:w="1008"/>
            <w:shd w:fill="F4F7F9"/>
            <w:tcMar>
              <w:top w:w="80" w:type="dxa"/>
              <w:start w:w="90" w:type="dxa"/>
              <w:bottom w:w="80" w:type="dxa"/>
              <w:end w:w="90" w:type="dxa"/>
            </w:tcMar>
            <w:vAlign w:val="top"/>
          </w:tcPr>
          <w:p>
            <w:pPr>
              <w:spacing w:after="0"/>
            </w:pPr>
            <w:r>
              <w:rPr>
                <w:color w:val="1F2933"/>
                <w:sz w:val="16"/>
              </w:rPr>
              <w:t>L1</w:t>
            </w:r>
          </w:p>
        </w:tc>
        <w:tc>
          <w:tcPr>
            <w:tcW w:type="dxa" w:w="6120"/>
            <w:shd w:fill="F4F7F9"/>
            <w:tcMar>
              <w:top w:w="80" w:type="dxa"/>
              <w:start w:w="90" w:type="dxa"/>
              <w:bottom w:w="80" w:type="dxa"/>
              <w:end w:w="90" w:type="dxa"/>
            </w:tcMar>
            <w:vAlign w:val="top"/>
          </w:tcPr>
          <w:p>
            <w:pPr>
              <w:spacing w:after="0"/>
            </w:pPr>
            <w:r>
              <w:rPr>
                <w:color w:val="1F2933"/>
                <w:sz w:val="16"/>
              </w:rPr>
              <w:t>Rigorous burn-in screening study</w:t>
            </w:r>
          </w:p>
        </w:tc>
        <w:tc>
          <w:tcPr>
            <w:tcW w:type="dxa" w:w="2664"/>
            <w:shd w:fill="F4F7F9"/>
            <w:tcMar>
              <w:top w:w="80" w:type="dxa"/>
              <w:start w:w="90" w:type="dxa"/>
              <w:bottom w:w="80" w:type="dxa"/>
              <w:end w:w="90" w:type="dxa"/>
            </w:tcMar>
            <w:vAlign w:val="top"/>
          </w:tcPr>
          <w:p>
            <w:pPr>
              <w:spacing w:after="0"/>
            </w:pPr>
            <w:r>
              <w:rPr>
                <w:color w:val="1F2933"/>
                <w:sz w:val="16"/>
              </w:rPr>
              <w:t>Strong benchmark + leakage-safe empirical evaluation</w:t>
            </w:r>
          </w:p>
        </w:tc>
      </w:tr>
      <w:tr>
        <w:trPr>
          <w:cantSplit/>
        </w:trPr>
        <w:tc>
          <w:tcPr>
            <w:tcW w:type="dxa" w:w="1008"/>
            <w:shd w:fill="FFFFFF"/>
            <w:tcMar>
              <w:top w:w="80" w:type="dxa"/>
              <w:start w:w="90" w:type="dxa"/>
              <w:bottom w:w="80" w:type="dxa"/>
              <w:end w:w="90" w:type="dxa"/>
            </w:tcMar>
            <w:vAlign w:val="top"/>
          </w:tcPr>
          <w:p>
            <w:pPr>
              <w:spacing w:after="0"/>
            </w:pPr>
            <w:r>
              <w:rPr>
                <w:color w:val="1F2933"/>
                <w:sz w:val="16"/>
              </w:rPr>
              <w:t>L2</w:t>
            </w:r>
          </w:p>
        </w:tc>
        <w:tc>
          <w:tcPr>
            <w:tcW w:type="dxa" w:w="6120"/>
            <w:shd w:fill="FFFFFF"/>
            <w:tcMar>
              <w:top w:w="80" w:type="dxa"/>
              <w:start w:w="90" w:type="dxa"/>
              <w:bottom w:w="80" w:type="dxa"/>
              <w:end w:w="90" w:type="dxa"/>
            </w:tcMar>
            <w:vAlign w:val="top"/>
          </w:tcPr>
          <w:p>
            <w:pPr>
              <w:spacing w:after="0"/>
            </w:pPr>
            <w:r>
              <w:rPr>
                <w:color w:val="1F2933"/>
                <w:sz w:val="16"/>
              </w:rPr>
              <w:t>Lot-conditioned label-efficient method</w:t>
            </w:r>
          </w:p>
        </w:tc>
        <w:tc>
          <w:tcPr>
            <w:tcW w:type="dxa" w:w="2664"/>
            <w:shd w:fill="FFFFFF"/>
            <w:tcMar>
              <w:top w:w="80" w:type="dxa"/>
              <w:start w:w="90" w:type="dxa"/>
              <w:bottom w:w="80" w:type="dxa"/>
              <w:end w:w="90" w:type="dxa"/>
            </w:tcMar>
            <w:vAlign w:val="top"/>
          </w:tcPr>
          <w:p>
            <w:pPr>
              <w:spacing w:after="0"/>
            </w:pPr>
            <w:r>
              <w:rPr>
                <w:color w:val="1F2933"/>
                <w:sz w:val="16"/>
              </w:rPr>
              <w:t>Consistent gains under low labels and unseen lots</w:t>
            </w:r>
          </w:p>
        </w:tc>
      </w:tr>
      <w:tr>
        <w:trPr>
          <w:cantSplit/>
        </w:trPr>
        <w:tc>
          <w:tcPr>
            <w:tcW w:type="dxa" w:w="1008"/>
            <w:shd w:fill="F4F7F9"/>
            <w:tcMar>
              <w:top w:w="80" w:type="dxa"/>
              <w:start w:w="90" w:type="dxa"/>
              <w:bottom w:w="80" w:type="dxa"/>
              <w:end w:w="90" w:type="dxa"/>
            </w:tcMar>
            <w:vAlign w:val="top"/>
          </w:tcPr>
          <w:p>
            <w:pPr>
              <w:spacing w:after="0"/>
            </w:pPr>
            <w:r>
              <w:rPr>
                <w:color w:val="1F2933"/>
                <w:sz w:val="16"/>
              </w:rPr>
              <w:t>L3</w:t>
            </w:r>
          </w:p>
        </w:tc>
        <w:tc>
          <w:tcPr>
            <w:tcW w:type="dxa" w:w="6120"/>
            <w:shd w:fill="F4F7F9"/>
            <w:tcMar>
              <w:top w:w="80" w:type="dxa"/>
              <w:start w:w="90" w:type="dxa"/>
              <w:bottom w:w="80" w:type="dxa"/>
              <w:end w:w="90" w:type="dxa"/>
            </w:tcMar>
            <w:vAlign w:val="top"/>
          </w:tcPr>
          <w:p>
            <w:pPr>
              <w:spacing w:after="0"/>
            </w:pPr>
            <w:r>
              <w:rPr>
                <w:color w:val="1F2933"/>
                <w:sz w:val="16"/>
              </w:rPr>
              <w:t>Physics-informed BurnIn-Bench + conformal-under-shift study</w:t>
            </w:r>
          </w:p>
        </w:tc>
        <w:tc>
          <w:tcPr>
            <w:tcW w:type="dxa" w:w="2664"/>
            <w:shd w:fill="F4F7F9"/>
            <w:tcMar>
              <w:top w:w="80" w:type="dxa"/>
              <w:start w:w="90" w:type="dxa"/>
              <w:bottom w:w="80" w:type="dxa"/>
              <w:end w:w="90" w:type="dxa"/>
            </w:tcMar>
            <w:vAlign w:val="top"/>
          </w:tcPr>
          <w:p>
            <w:pPr>
              <w:spacing w:after="0"/>
            </w:pPr>
            <w:r>
              <w:rPr>
                <w:color w:val="1F2933"/>
                <w:sz w:val="16"/>
              </w:rPr>
              <w:t>High-quality benchmark + calibrated experiments + failure analysis</w:t>
            </w:r>
          </w:p>
        </w:tc>
      </w:tr>
      <w:tr>
        <w:trPr>
          <w:cantSplit/>
        </w:trPr>
        <w:tc>
          <w:tcPr>
            <w:tcW w:type="dxa" w:w="1008"/>
            <w:shd w:fill="FFFFFF"/>
            <w:tcMar>
              <w:top w:w="80" w:type="dxa"/>
              <w:start w:w="90" w:type="dxa"/>
              <w:bottom w:w="80" w:type="dxa"/>
              <w:end w:w="90" w:type="dxa"/>
            </w:tcMar>
            <w:vAlign w:val="top"/>
          </w:tcPr>
          <w:p>
            <w:pPr>
              <w:spacing w:after="0"/>
            </w:pPr>
            <w:r>
              <w:rPr>
                <w:color w:val="1F2933"/>
                <w:sz w:val="16"/>
              </w:rPr>
              <w:t>L4</w:t>
            </w:r>
          </w:p>
        </w:tc>
        <w:tc>
          <w:tcPr>
            <w:tcW w:type="dxa" w:w="6120"/>
            <w:shd w:fill="FFFFFF"/>
            <w:tcMar>
              <w:top w:w="80" w:type="dxa"/>
              <w:start w:w="90" w:type="dxa"/>
              <w:bottom w:w="80" w:type="dxa"/>
              <w:end w:w="90" w:type="dxa"/>
            </w:tcMar>
            <w:vAlign w:val="top"/>
          </w:tcPr>
          <w:p>
            <w:pPr>
              <w:spacing w:after="0"/>
            </w:pPr>
            <w:r>
              <w:rPr>
                <w:color w:val="1F2933"/>
                <w:sz w:val="16"/>
              </w:rPr>
              <w:t>General method beyond burn-in</w:t>
            </w:r>
          </w:p>
        </w:tc>
        <w:tc>
          <w:tcPr>
            <w:tcW w:type="dxa" w:w="2664"/>
            <w:shd w:fill="FFFFFF"/>
            <w:tcMar>
              <w:top w:w="80" w:type="dxa"/>
              <w:start w:w="90" w:type="dxa"/>
              <w:bottom w:w="80" w:type="dxa"/>
              <w:end w:w="90" w:type="dxa"/>
            </w:tcMar>
            <w:vAlign w:val="top"/>
          </w:tcPr>
          <w:p>
            <w:pPr>
              <w:spacing w:after="0"/>
            </w:pPr>
            <w:r>
              <w:rPr>
                <w:color w:val="1F2933"/>
                <w:sz w:val="16"/>
              </w:rPr>
              <w:t>Evidence across multiple domains / datasets with a broader algorithmic claim</w:t>
            </w:r>
          </w:p>
        </w:tc>
      </w:tr>
    </w:tbl>
    <w:p>
      <w:pPr>
        <w:spacing w:after="40"/>
      </w:pPr>
    </w:p>
    <w:p>
      <w:pPr>
        <w:pStyle w:val="Heading1"/>
        <w:keepNext/>
      </w:pPr>
      <w:r>
        <w:t>20. Final Paper Structure and Writing Plan</w:t>
      </w:r>
    </w:p>
    <w:p>
      <w:pPr>
        <w:pStyle w:val="Heading2"/>
        <w:keepNext/>
      </w:pPr>
      <w:r>
        <w:t>20.1 Paper title candidates</w:t>
      </w:r>
    </w:p>
    <w:p>
      <w:pPr>
        <w:pStyle w:val="ListBullet"/>
        <w:spacing w:after="40"/>
        <w:ind w:left="317"/>
      </w:pPr>
      <w:r>
        <w:t>Physics-Informed, Label-Efficient Latent-Defect Screening under Production-Lot Distribution Shift</w:t>
      </w:r>
    </w:p>
    <w:p>
      <w:pPr>
        <w:pStyle w:val="ListBullet"/>
        <w:spacing w:after="40"/>
        <w:ind w:left="317"/>
      </w:pPr>
      <w:r>
        <w:t>Adaptive Lot-Conditioned Temporal Screening and Early Drift Prediction for High-Reliability Electronic Components</w:t>
      </w:r>
    </w:p>
    <w:p>
      <w:pPr>
        <w:pStyle w:val="ListBullet"/>
        <w:spacing w:after="40"/>
        <w:ind w:left="317"/>
      </w:pPr>
      <w:r>
        <w:t>Conformal Uncertainty for Latent-Defect Screening under Cross-Lot Distribution Shift</w:t>
      </w:r>
    </w:p>
    <w:p>
      <w:pPr>
        <w:spacing w:after="100" w:line="254" w:lineRule="auto"/>
      </w:pPr>
      <w:r>
        <w:t>The final title should be selected only after the experiments establish which contribution is strongest. The major-project title may remain broader while the paper becomes narrower.</w:t>
      </w:r>
    </w:p>
    <w:p>
      <w:pPr>
        <w:pStyle w:val="Heading2"/>
        <w:keepNext/>
      </w:pPr>
      <w:r>
        <w:t>20.2 Recommended paper sections</w:t>
      </w:r>
    </w:p>
    <w:p>
      <w:pPr>
        <w:spacing w:after="40"/>
        <w:ind w:left="432" w:hanging="432"/>
      </w:pPr>
      <w:r>
        <w:t>1. Introduction: burn-in screening problem, latent-defect scenario, limitations of absolute thresholds, research question.</w:t>
      </w:r>
    </w:p>
    <w:p>
      <w:pPr>
        <w:spacing w:after="40"/>
        <w:ind w:left="432" w:hanging="432"/>
      </w:pPr>
      <w:r>
        <w:t>2. Related work: semiconductor burn-in analytics, industrial anomaly detection, self-supervised temporal learning, conformal prediction, distribution shift, reliability modelling.</w:t>
      </w:r>
    </w:p>
    <w:p>
      <w:pPr>
        <w:spacing w:after="40"/>
        <w:ind w:left="432" w:hanging="432"/>
      </w:pPr>
      <w:r>
        <w:t>3. Problem formulation: component, lot, staged trajectory, early information horizon, screening disposition.</w:t>
      </w:r>
    </w:p>
    <w:p>
      <w:pPr>
        <w:spacing w:after="40"/>
        <w:ind w:left="432" w:hanging="432"/>
      </w:pPr>
      <w:r>
        <w:t>4. BurnIn-Bench: six-layer generator, physics priors, nuisance variables, hidden ground truth, split design, benchmark card.</w:t>
      </w:r>
    </w:p>
    <w:p>
      <w:pPr>
        <w:spacing w:after="40"/>
        <w:ind w:left="432" w:hanging="432"/>
      </w:pPr>
      <w:r>
        <w:t>5. Method: REPRESENT, DETECT, PREDICT, TRUST; exact model and calibration algorithms.</w:t>
      </w:r>
    </w:p>
    <w:p>
      <w:pPr>
        <w:spacing w:after="40"/>
        <w:ind w:left="432" w:hanging="432"/>
      </w:pPr>
      <w:r>
        <w:t>6. Experimental protocol: unseen-lot splits, label budgets, shift ladder, calibration split, leakage controls, metrics.</w:t>
      </w:r>
    </w:p>
    <w:p>
      <w:pPr>
        <w:spacing w:after="40"/>
        <w:ind w:left="432" w:hanging="432"/>
      </w:pPr>
      <w:r>
        <w:t>7. Results: baseline comparison, label efficiency, unseen-lot generalization, CQR coverage, Split Conformal prediction sets, cross-lot degradation curves.</w:t>
      </w:r>
    </w:p>
    <w:p>
      <w:pPr>
        <w:spacing w:after="40"/>
        <w:ind w:left="432" w:hanging="432"/>
      </w:pPr>
      <w:r>
        <w:t>8. Ablations and failure analysis: simulator shortcuts, uncertainty failures, shift sensitivity, contamination, missingness.</w:t>
      </w:r>
    </w:p>
    <w:p>
      <w:pPr>
        <w:spacing w:after="40"/>
        <w:ind w:left="432" w:hanging="432"/>
      </w:pPr>
      <w:r>
        <w:t>9. Supporting EXPLAIN layer: only if evidence shows useful QA value; clearly separated from the core research claim.</w:t>
      </w:r>
    </w:p>
    <w:p>
      <w:pPr>
        <w:spacing w:after="40"/>
        <w:ind w:left="432" w:hanging="432"/>
      </w:pPr>
      <w:r>
        <w:t>10. Software system and reproducibility: replay engine, API, dashboard, artifacts.</w:t>
      </w:r>
    </w:p>
    <w:p>
      <w:pPr>
        <w:spacing w:after="40"/>
        <w:ind w:left="432" w:hanging="432"/>
      </w:pPr>
      <w:r>
        <w:t>11. Limitations: synthetic/proxy data, benchmark-to-real gap, conformal assumptions, mechanism-model assumptions, absence of proprietary ISRO data.</w:t>
      </w:r>
    </w:p>
    <w:p>
      <w:pPr>
        <w:spacing w:after="40"/>
        <w:ind w:left="432" w:hanging="432"/>
      </w:pPr>
      <w:r>
        <w:t>12. Conclusion: only evidence-backed claims.</w:t>
      </w:r>
    </w:p>
    <w:p>
      <w:pPr>
        <w:pStyle w:val="Heading2"/>
        <w:keepNext/>
      </w:pPr>
      <w:r>
        <w:t>20.3 Writing discipline</w:t>
      </w:r>
    </w:p>
    <w:p>
      <w:pPr>
        <w:pStyle w:val="ListBullet"/>
        <w:spacing w:after="40"/>
        <w:ind w:left="317"/>
      </w:pPr>
      <w:r>
        <w:t>Every novelty claim must be tied to a concrete literature difference.</w:t>
      </w:r>
    </w:p>
    <w:p>
      <w:pPr>
        <w:pStyle w:val="ListBullet"/>
        <w:spacing w:after="40"/>
        <w:ind w:left="317"/>
      </w:pPr>
      <w:r>
        <w:t>Every result must state dataset, lot split, label budget, prediction horizon, shift condition, and uncertainty interval / confidence interval where relevant.</w:t>
      </w:r>
    </w:p>
    <w:p>
      <w:pPr>
        <w:pStyle w:val="ListBullet"/>
        <w:spacing w:after="40"/>
        <w:ind w:left="317"/>
      </w:pPr>
      <w:r>
        <w:t>Every figure must distinguish implemented components from evaluated research hypotheses.</w:t>
      </w:r>
    </w:p>
    <w:p>
      <w:pPr>
        <w:pStyle w:val="ListBullet"/>
        <w:spacing w:after="40"/>
        <w:ind w:left="317"/>
      </w:pPr>
      <w:r>
        <w:t>Do not write “guaranteed under distribution shift.” Write exactly what assumptions support a guarantee and what the experiment observed under shift.</w:t>
      </w:r>
    </w:p>
    <w:p>
      <w:pPr>
        <w:pStyle w:val="ListBullet"/>
        <w:spacing w:after="40"/>
        <w:ind w:left="317"/>
      </w:pPr>
      <w:r>
        <w:t>Do not let the supporting LLM dominate the paper narrative.</w:t>
      </w:r>
    </w:p>
    <w:p>
      <w:pPr>
        <w:pStyle w:val="Heading1"/>
        <w:keepNext/>
      </w:pPr>
      <w:r>
        <w:t>21. Definition of Success and Go/No-Go Gates</w:t>
      </w:r>
    </w:p>
    <w:p>
      <w:pPr>
        <w:spacing w:after="100" w:line="254" w:lineRule="auto"/>
      </w:pPr>
      <w:r>
        <w:t>Success is defined as a reproducible scientific result, not as the number of advanced modules implemented.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183A5A"/>
            <w:tcMar>
              <w:top w:w="80" w:type="dxa"/>
              <w:start w:w="90" w:type="dxa"/>
              <w:bottom w:w="80" w:type="dxa"/>
              <w:end w:w="90" w:type="dxa"/>
            </w:tcMar>
            <w:vAlign w:val="center"/>
          </w:tcPr>
          <w:p>
            <w:pPr>
              <w:jc w:val="left"/>
            </w:pPr>
            <w:r>
              <w:rPr>
                <w:b/>
                <w:color w:val="FFFFFF"/>
                <w:sz w:val="16"/>
              </w:rPr>
              <w:t>Gate</w:t>
            </w:r>
          </w:p>
        </w:tc>
        <w:tc>
          <w:tcPr>
            <w:tcW w:type="dxa" w:w="5760"/>
            <w:shd w:fill="183A5A"/>
            <w:tcMar>
              <w:top w:w="80" w:type="dxa"/>
              <w:start w:w="90" w:type="dxa"/>
              <w:bottom w:w="80" w:type="dxa"/>
              <w:end w:w="90" w:type="dxa"/>
            </w:tcMar>
            <w:vAlign w:val="center"/>
          </w:tcPr>
          <w:p>
            <w:pPr>
              <w:jc w:val="left"/>
            </w:pPr>
            <w:r>
              <w:rPr>
                <w:b/>
                <w:color w:val="FFFFFF"/>
                <w:sz w:val="16"/>
              </w:rPr>
              <w:t>Pass condition</w:t>
            </w:r>
          </w:p>
        </w:tc>
        <w:tc>
          <w:tcPr>
            <w:tcW w:type="dxa" w:w="2880"/>
            <w:shd w:fill="183A5A"/>
            <w:tcMar>
              <w:top w:w="80" w:type="dxa"/>
              <w:start w:w="90" w:type="dxa"/>
              <w:bottom w:w="80" w:type="dxa"/>
              <w:end w:w="90" w:type="dxa"/>
            </w:tcMar>
            <w:vAlign w:val="center"/>
          </w:tcPr>
          <w:p>
            <w:pPr>
              <w:jc w:val="left"/>
            </w:pPr>
            <w:r>
              <w:rPr>
                <w:b/>
                <w:color w:val="FFFFFF"/>
                <w:sz w:val="16"/>
              </w:rPr>
              <w:t>If not met</w:t>
            </w:r>
          </w:p>
        </w:tc>
      </w:tr>
      <w:tr>
        <w:trPr>
          <w:cantSplit/>
        </w:trPr>
        <w:tc>
          <w:tcPr>
            <w:tcW w:type="dxa" w:w="1584"/>
            <w:shd w:fill="FFFFFF"/>
            <w:tcMar>
              <w:top w:w="80" w:type="dxa"/>
              <w:start w:w="90" w:type="dxa"/>
              <w:bottom w:w="80" w:type="dxa"/>
              <w:end w:w="90" w:type="dxa"/>
            </w:tcMar>
            <w:vAlign w:val="top"/>
          </w:tcPr>
          <w:p>
            <w:pPr>
              <w:spacing w:after="0"/>
            </w:pPr>
            <w:r>
              <w:rPr>
                <w:color w:val="1F2933"/>
                <w:sz w:val="16"/>
              </w:rPr>
              <w:t>G1 Baseline</w:t>
            </w:r>
          </w:p>
        </w:tc>
        <w:tc>
          <w:tcPr>
            <w:tcW w:type="dxa" w:w="5760"/>
            <w:shd w:fill="FFFFFF"/>
            <w:tcMar>
              <w:top w:w="80" w:type="dxa"/>
              <w:start w:w="90" w:type="dxa"/>
              <w:bottom w:w="80" w:type="dxa"/>
              <w:end w:w="90" w:type="dxa"/>
            </w:tcMar>
            <w:vAlign w:val="top"/>
          </w:tcPr>
          <w:p>
            <w:pPr>
              <w:spacing w:after="0"/>
            </w:pPr>
            <w:r>
              <w:rPr>
                <w:color w:val="1F2933"/>
                <w:sz w:val="16"/>
              </w:rPr>
              <w:t>Static and classical baselines reproduce consistently</w:t>
            </w:r>
          </w:p>
        </w:tc>
        <w:tc>
          <w:tcPr>
            <w:tcW w:type="dxa" w:w="2880"/>
            <w:shd w:fill="FFFFFF"/>
            <w:tcMar>
              <w:top w:w="80" w:type="dxa"/>
              <w:start w:w="90" w:type="dxa"/>
              <w:bottom w:w="80" w:type="dxa"/>
              <w:end w:w="90" w:type="dxa"/>
            </w:tcMar>
            <w:vAlign w:val="top"/>
          </w:tcPr>
          <w:p>
            <w:pPr>
              <w:spacing w:after="0"/>
            </w:pPr>
            <w:r>
              <w:rPr>
                <w:color w:val="1F2933"/>
                <w:sz w:val="16"/>
              </w:rPr>
              <w:t>Fix pipeline and data protocol</w:t>
            </w:r>
          </w:p>
        </w:tc>
      </w:tr>
      <w:tr>
        <w:trPr>
          <w:cantSplit/>
        </w:trPr>
        <w:tc>
          <w:tcPr>
            <w:tcW w:type="dxa" w:w="1584"/>
            <w:shd w:fill="F4F7F9"/>
            <w:tcMar>
              <w:top w:w="80" w:type="dxa"/>
              <w:start w:w="90" w:type="dxa"/>
              <w:bottom w:w="80" w:type="dxa"/>
              <w:end w:w="90" w:type="dxa"/>
            </w:tcMar>
            <w:vAlign w:val="top"/>
          </w:tcPr>
          <w:p>
            <w:pPr>
              <w:spacing w:after="0"/>
            </w:pPr>
            <w:r>
              <w:rPr>
                <w:color w:val="1F2933"/>
                <w:sz w:val="16"/>
              </w:rPr>
              <w:t>G2 BurnIn-Bench</w:t>
            </w:r>
          </w:p>
        </w:tc>
        <w:tc>
          <w:tcPr>
            <w:tcW w:type="dxa" w:w="5760"/>
            <w:shd w:fill="F4F7F9"/>
            <w:tcMar>
              <w:top w:w="80" w:type="dxa"/>
              <w:start w:w="90" w:type="dxa"/>
              <w:bottom w:w="80" w:type="dxa"/>
              <w:end w:w="90" w:type="dxa"/>
            </w:tcMar>
            <w:vAlign w:val="top"/>
          </w:tcPr>
          <w:p>
            <w:pPr>
              <w:spacing w:after="0"/>
            </w:pPr>
            <w:r>
              <w:rPr>
                <w:color w:val="1F2933"/>
                <w:sz w:val="16"/>
              </w:rPr>
              <w:t>Hidden test is not trivially solvable by one feature or generator artifact</w:t>
            </w:r>
          </w:p>
        </w:tc>
        <w:tc>
          <w:tcPr>
            <w:tcW w:type="dxa" w:w="2880"/>
            <w:shd w:fill="F4F7F9"/>
            <w:tcMar>
              <w:top w:w="80" w:type="dxa"/>
              <w:start w:w="90" w:type="dxa"/>
              <w:bottom w:w="80" w:type="dxa"/>
              <w:end w:w="90" w:type="dxa"/>
            </w:tcMar>
            <w:vAlign w:val="top"/>
          </w:tcPr>
          <w:p>
            <w:pPr>
              <w:spacing w:after="0"/>
            </w:pPr>
            <w:r>
              <w:rPr>
                <w:color w:val="1F2933"/>
                <w:sz w:val="16"/>
              </w:rPr>
              <w:t>Redesign generator / increase mechanism and nuisance holdouts</w:t>
            </w:r>
          </w:p>
        </w:tc>
      </w:tr>
      <w:tr>
        <w:trPr>
          <w:cantSplit/>
        </w:trPr>
        <w:tc>
          <w:tcPr>
            <w:tcW w:type="dxa" w:w="1584"/>
            <w:shd w:fill="FFFFFF"/>
            <w:tcMar>
              <w:top w:w="80" w:type="dxa"/>
              <w:start w:w="90" w:type="dxa"/>
              <w:bottom w:w="80" w:type="dxa"/>
              <w:end w:w="90" w:type="dxa"/>
            </w:tcMar>
            <w:vAlign w:val="top"/>
          </w:tcPr>
          <w:p>
            <w:pPr>
              <w:spacing w:after="0"/>
            </w:pPr>
            <w:r>
              <w:rPr>
                <w:color w:val="1F2933"/>
                <w:sz w:val="16"/>
              </w:rPr>
              <w:t>G3 Low-label learning</w:t>
            </w:r>
          </w:p>
        </w:tc>
        <w:tc>
          <w:tcPr>
            <w:tcW w:type="dxa" w:w="5760"/>
            <w:shd w:fill="FFFFFF"/>
            <w:tcMar>
              <w:top w:w="80" w:type="dxa"/>
              <w:start w:w="90" w:type="dxa"/>
              <w:bottom w:w="80" w:type="dxa"/>
              <w:end w:w="90" w:type="dxa"/>
            </w:tcMar>
            <w:vAlign w:val="top"/>
          </w:tcPr>
          <w:p>
            <w:pPr>
              <w:spacing w:after="0"/>
            </w:pPr>
            <w:r>
              <w:rPr>
                <w:color w:val="1F2933"/>
                <w:sz w:val="16"/>
              </w:rPr>
              <w:t>SSL produces a reproducible benefit or a defensible negative result</w:t>
            </w:r>
          </w:p>
        </w:tc>
        <w:tc>
          <w:tcPr>
            <w:tcW w:type="dxa" w:w="2880"/>
            <w:shd w:fill="FFFFFF"/>
            <w:tcMar>
              <w:top w:w="80" w:type="dxa"/>
              <w:start w:w="90" w:type="dxa"/>
              <w:bottom w:w="80" w:type="dxa"/>
              <w:end w:w="90" w:type="dxa"/>
            </w:tcMar>
            <w:vAlign w:val="top"/>
          </w:tcPr>
          <w:p>
            <w:pPr>
              <w:spacing w:after="0"/>
            </w:pPr>
            <w:r>
              <w:rPr>
                <w:color w:val="1F2933"/>
                <w:sz w:val="16"/>
              </w:rPr>
              <w:t>Simplify or remove SSL from central claim</w:t>
            </w:r>
          </w:p>
        </w:tc>
      </w:tr>
      <w:tr>
        <w:trPr>
          <w:cantSplit/>
        </w:trPr>
        <w:tc>
          <w:tcPr>
            <w:tcW w:type="dxa" w:w="1584"/>
            <w:shd w:fill="F4F7F9"/>
            <w:tcMar>
              <w:top w:w="80" w:type="dxa"/>
              <w:start w:w="90" w:type="dxa"/>
              <w:bottom w:w="80" w:type="dxa"/>
              <w:end w:w="90" w:type="dxa"/>
            </w:tcMar>
            <w:vAlign w:val="top"/>
          </w:tcPr>
          <w:p>
            <w:pPr>
              <w:spacing w:after="0"/>
            </w:pPr>
            <w:r>
              <w:rPr>
                <w:color w:val="1F2933"/>
                <w:sz w:val="16"/>
              </w:rPr>
              <w:t>G4 Unseen lot</w:t>
            </w:r>
          </w:p>
        </w:tc>
        <w:tc>
          <w:tcPr>
            <w:tcW w:type="dxa" w:w="5760"/>
            <w:shd w:fill="F4F7F9"/>
            <w:tcMar>
              <w:top w:w="80" w:type="dxa"/>
              <w:start w:w="90" w:type="dxa"/>
              <w:bottom w:w="80" w:type="dxa"/>
              <w:end w:w="90" w:type="dxa"/>
            </w:tcMar>
            <w:vAlign w:val="top"/>
          </w:tcPr>
          <w:p>
            <w:pPr>
              <w:spacing w:after="0"/>
            </w:pPr>
            <w:r>
              <w:rPr>
                <w:color w:val="1F2933"/>
                <w:sz w:val="16"/>
              </w:rPr>
              <w:t>Results survive lot-level holdout evaluation</w:t>
            </w:r>
          </w:p>
        </w:tc>
        <w:tc>
          <w:tcPr>
            <w:tcW w:type="dxa" w:w="2880"/>
            <w:shd w:fill="F4F7F9"/>
            <w:tcMar>
              <w:top w:w="80" w:type="dxa"/>
              <w:start w:w="90" w:type="dxa"/>
              <w:bottom w:w="80" w:type="dxa"/>
              <w:end w:w="90" w:type="dxa"/>
            </w:tcMar>
            <w:vAlign w:val="top"/>
          </w:tcPr>
          <w:p>
            <w:pPr>
              <w:spacing w:after="0"/>
            </w:pPr>
            <w:r>
              <w:rPr>
                <w:color w:val="1F2933"/>
                <w:sz w:val="16"/>
              </w:rPr>
              <w:t>Do not claim production generalization</w:t>
            </w:r>
          </w:p>
        </w:tc>
      </w:tr>
      <w:tr>
        <w:trPr>
          <w:cantSplit/>
        </w:trPr>
        <w:tc>
          <w:tcPr>
            <w:tcW w:type="dxa" w:w="1584"/>
            <w:shd w:fill="FFFFFF"/>
            <w:tcMar>
              <w:top w:w="80" w:type="dxa"/>
              <w:start w:w="90" w:type="dxa"/>
              <w:bottom w:w="80" w:type="dxa"/>
              <w:end w:w="90" w:type="dxa"/>
            </w:tcMar>
            <w:vAlign w:val="top"/>
          </w:tcPr>
          <w:p>
            <w:pPr>
              <w:spacing w:after="0"/>
            </w:pPr>
            <w:r>
              <w:rPr>
                <w:color w:val="1F2933"/>
                <w:sz w:val="16"/>
              </w:rPr>
              <w:t>G5 CQR / Split CP</w:t>
            </w:r>
          </w:p>
        </w:tc>
        <w:tc>
          <w:tcPr>
            <w:tcW w:type="dxa" w:w="5760"/>
            <w:shd w:fill="FFFFFF"/>
            <w:tcMar>
              <w:top w:w="80" w:type="dxa"/>
              <w:start w:w="90" w:type="dxa"/>
              <w:bottom w:w="80" w:type="dxa"/>
              <w:end w:w="90" w:type="dxa"/>
            </w:tcMar>
            <w:vAlign w:val="top"/>
          </w:tcPr>
          <w:p>
            <w:pPr>
              <w:spacing w:after="0"/>
            </w:pPr>
            <w:r>
              <w:rPr>
                <w:color w:val="1F2933"/>
                <w:sz w:val="16"/>
              </w:rPr>
              <w:t>Nominal calibration is measurable and the protocol is leakage-safe</w:t>
            </w:r>
          </w:p>
        </w:tc>
        <w:tc>
          <w:tcPr>
            <w:tcW w:type="dxa" w:w="2880"/>
            <w:shd w:fill="FFFFFF"/>
            <w:tcMar>
              <w:top w:w="80" w:type="dxa"/>
              <w:start w:w="90" w:type="dxa"/>
              <w:bottom w:w="80" w:type="dxa"/>
              <w:end w:w="90" w:type="dxa"/>
            </w:tcMar>
            <w:vAlign w:val="top"/>
          </w:tcPr>
          <w:p>
            <w:pPr>
              <w:spacing w:after="0"/>
            </w:pPr>
            <w:r>
              <w:rPr>
                <w:color w:val="1F2933"/>
                <w:sz w:val="16"/>
              </w:rPr>
              <w:t>Repair calibration protocol before shift experiment</w:t>
            </w:r>
          </w:p>
        </w:tc>
      </w:tr>
      <w:tr>
        <w:trPr>
          <w:cantSplit/>
        </w:trPr>
        <w:tc>
          <w:tcPr>
            <w:tcW w:type="dxa" w:w="1584"/>
            <w:shd w:fill="F4F7F9"/>
            <w:tcMar>
              <w:top w:w="80" w:type="dxa"/>
              <w:start w:w="90" w:type="dxa"/>
              <w:bottom w:w="80" w:type="dxa"/>
              <w:end w:w="90" w:type="dxa"/>
            </w:tcMar>
            <w:vAlign w:val="top"/>
          </w:tcPr>
          <w:p>
            <w:pPr>
              <w:spacing w:after="0"/>
            </w:pPr>
            <w:r>
              <w:rPr>
                <w:color w:val="1F2933"/>
                <w:sz w:val="16"/>
              </w:rPr>
              <w:t>G6 Shift experiment</w:t>
            </w:r>
          </w:p>
        </w:tc>
        <w:tc>
          <w:tcPr>
            <w:tcW w:type="dxa" w:w="5760"/>
            <w:shd w:fill="F4F7F9"/>
            <w:tcMar>
              <w:top w:w="80" w:type="dxa"/>
              <w:start w:w="90" w:type="dxa"/>
              <w:bottom w:w="80" w:type="dxa"/>
              <w:end w:w="90" w:type="dxa"/>
            </w:tcMar>
            <w:vAlign w:val="top"/>
          </w:tcPr>
          <w:p>
            <w:pPr>
              <w:spacing w:after="0"/>
            </w:pPr>
            <w:r>
              <w:rPr>
                <w:color w:val="1F2933"/>
                <w:sz w:val="16"/>
              </w:rPr>
              <w:t>Coverage / prediction-set behaviour is mapped across declared cross-lot shifts</w:t>
            </w:r>
          </w:p>
        </w:tc>
        <w:tc>
          <w:tcPr>
            <w:tcW w:type="dxa" w:w="2880"/>
            <w:shd w:fill="F4F7F9"/>
            <w:tcMar>
              <w:top w:w="80" w:type="dxa"/>
              <w:start w:w="90" w:type="dxa"/>
              <w:bottom w:w="80" w:type="dxa"/>
              <w:end w:w="90" w:type="dxa"/>
            </w:tcMar>
            <w:vAlign w:val="top"/>
          </w:tcPr>
          <w:p>
            <w:pPr>
              <w:spacing w:after="0"/>
            </w:pPr>
            <w:r>
              <w:rPr>
                <w:color w:val="1F2933"/>
                <w:sz w:val="16"/>
              </w:rPr>
              <w:t>Reframe trust contribution as measurement only</w:t>
            </w:r>
          </w:p>
        </w:tc>
      </w:tr>
      <w:tr>
        <w:trPr>
          <w:cantSplit/>
        </w:trPr>
        <w:tc>
          <w:tcPr>
            <w:tcW w:type="dxa" w:w="1584"/>
            <w:shd w:fill="FFFFFF"/>
            <w:tcMar>
              <w:top w:w="80" w:type="dxa"/>
              <w:start w:w="90" w:type="dxa"/>
              <w:bottom w:w="80" w:type="dxa"/>
              <w:end w:w="90" w:type="dxa"/>
            </w:tcMar>
            <w:vAlign w:val="top"/>
          </w:tcPr>
          <w:p>
            <w:pPr>
              <w:spacing w:after="0"/>
            </w:pPr>
            <w:r>
              <w:rPr>
                <w:color w:val="1F2933"/>
                <w:sz w:val="16"/>
              </w:rPr>
              <w:t>G7 Risk</w:t>
            </w:r>
          </w:p>
        </w:tc>
        <w:tc>
          <w:tcPr>
            <w:tcW w:type="dxa" w:w="5760"/>
            <w:shd w:fill="FFFFFF"/>
            <w:tcMar>
              <w:top w:w="80" w:type="dxa"/>
              <w:start w:w="90" w:type="dxa"/>
              <w:bottom w:w="80" w:type="dxa"/>
              <w:end w:w="90" w:type="dxa"/>
            </w:tcMar>
            <w:vAlign w:val="top"/>
          </w:tcPr>
          <w:p>
            <w:pPr>
              <w:spacing w:after="0"/>
            </w:pPr>
            <w:r>
              <w:rPr>
                <w:color w:val="1F2933"/>
                <w:sz w:val="16"/>
              </w:rPr>
              <w:t>Selective review can reduce unsafe errors without hidden future information</w:t>
            </w:r>
          </w:p>
        </w:tc>
        <w:tc>
          <w:tcPr>
            <w:tcW w:type="dxa" w:w="2880"/>
            <w:shd w:fill="FFFFFF"/>
            <w:tcMar>
              <w:top w:w="80" w:type="dxa"/>
              <w:start w:w="90" w:type="dxa"/>
              <w:bottom w:w="80" w:type="dxa"/>
              <w:end w:w="90" w:type="dxa"/>
            </w:tcMar>
            <w:vAlign w:val="top"/>
          </w:tcPr>
          <w:p>
            <w:pPr>
              <w:spacing w:after="0"/>
            </w:pPr>
            <w:r>
              <w:rPr>
                <w:color w:val="1F2933"/>
                <w:sz w:val="16"/>
              </w:rPr>
              <w:t>Keep review logic conservative and report limitations</w:t>
            </w:r>
          </w:p>
        </w:tc>
      </w:tr>
      <w:tr>
        <w:trPr>
          <w:cantSplit/>
        </w:trPr>
        <w:tc>
          <w:tcPr>
            <w:tcW w:type="dxa" w:w="1584"/>
            <w:shd w:fill="F4F7F9"/>
            <w:tcMar>
              <w:top w:w="80" w:type="dxa"/>
              <w:start w:w="90" w:type="dxa"/>
              <w:bottom w:w="80" w:type="dxa"/>
              <w:end w:w="90" w:type="dxa"/>
            </w:tcMar>
            <w:vAlign w:val="top"/>
          </w:tcPr>
          <w:p>
            <w:pPr>
              <w:spacing w:after="0"/>
            </w:pPr>
            <w:r>
              <w:rPr>
                <w:color w:val="1F2933"/>
                <w:sz w:val="16"/>
              </w:rPr>
              <w:t>G8 EXPLAIN</w:t>
            </w:r>
          </w:p>
        </w:tc>
        <w:tc>
          <w:tcPr>
            <w:tcW w:type="dxa" w:w="5760"/>
            <w:shd w:fill="F4F7F9"/>
            <w:tcMar>
              <w:top w:w="80" w:type="dxa"/>
              <w:start w:w="90" w:type="dxa"/>
              <w:bottom w:w="80" w:type="dxa"/>
              <w:end w:w="90" w:type="dxa"/>
            </w:tcMar>
            <w:vAlign w:val="top"/>
          </w:tcPr>
          <w:p>
            <w:pPr>
              <w:spacing w:after="0"/>
            </w:pPr>
            <w:r>
              <w:rPr>
                <w:color w:val="1F2933"/>
                <w:sz w:val="16"/>
              </w:rPr>
              <w:t>Attributions are sufficiently stable / faithful for QA use</w:t>
            </w:r>
          </w:p>
        </w:tc>
        <w:tc>
          <w:tcPr>
            <w:tcW w:type="dxa" w:w="2880"/>
            <w:shd w:fill="F4F7F9"/>
            <w:tcMar>
              <w:top w:w="80" w:type="dxa"/>
              <w:start w:w="90" w:type="dxa"/>
              <w:bottom w:w="80" w:type="dxa"/>
              <w:end w:w="90" w:type="dxa"/>
            </w:tcMar>
            <w:vAlign w:val="top"/>
          </w:tcPr>
          <w:p>
            <w:pPr>
              <w:spacing w:after="0"/>
            </w:pPr>
            <w:r>
              <w:rPr>
                <w:color w:val="1F2933"/>
                <w:sz w:val="16"/>
              </w:rPr>
              <w:t>Keep only structured evidence; omit LLM narrative</w:t>
            </w:r>
          </w:p>
        </w:tc>
      </w:tr>
      <w:tr>
        <w:trPr>
          <w:cantSplit/>
        </w:trPr>
        <w:tc>
          <w:tcPr>
            <w:tcW w:type="dxa" w:w="1584"/>
            <w:shd w:fill="FFFFFF"/>
            <w:tcMar>
              <w:top w:w="80" w:type="dxa"/>
              <w:start w:w="90" w:type="dxa"/>
              <w:bottom w:w="80" w:type="dxa"/>
              <w:end w:w="90" w:type="dxa"/>
            </w:tcMar>
            <w:vAlign w:val="top"/>
          </w:tcPr>
          <w:p>
            <w:pPr>
              <w:spacing w:after="0"/>
            </w:pPr>
            <w:r>
              <w:rPr>
                <w:color w:val="1F2933"/>
                <w:sz w:val="16"/>
              </w:rPr>
              <w:t>G9 Paper</w:t>
            </w:r>
          </w:p>
        </w:tc>
        <w:tc>
          <w:tcPr>
            <w:tcW w:type="dxa" w:w="5760"/>
            <w:shd w:fill="FFFFFF"/>
            <w:tcMar>
              <w:top w:w="80" w:type="dxa"/>
              <w:start w:w="90" w:type="dxa"/>
              <w:bottom w:w="80" w:type="dxa"/>
              <w:end w:w="90" w:type="dxa"/>
            </w:tcMar>
            <w:vAlign w:val="top"/>
          </w:tcPr>
          <w:p>
            <w:pPr>
              <w:spacing w:after="0"/>
            </w:pPr>
            <w:r>
              <w:rPr>
                <w:color w:val="1F2933"/>
                <w:sz w:val="16"/>
              </w:rPr>
              <w:t>Primary comparisons are robust across lots and seeds with uncertainty estimates</w:t>
            </w:r>
          </w:p>
        </w:tc>
        <w:tc>
          <w:tcPr>
            <w:tcW w:type="dxa" w:w="2880"/>
            <w:shd w:fill="FFFFFF"/>
            <w:tcMar>
              <w:top w:w="80" w:type="dxa"/>
              <w:start w:w="90" w:type="dxa"/>
              <w:bottom w:w="80" w:type="dxa"/>
              <w:end w:w="90" w:type="dxa"/>
            </w:tcMar>
            <w:vAlign w:val="top"/>
          </w:tcPr>
          <w:p>
            <w:pPr>
              <w:spacing w:after="0"/>
            </w:pPr>
            <w:r>
              <w:rPr>
                <w:color w:val="1F2933"/>
                <w:sz w:val="16"/>
              </w:rPr>
              <w:t>Reframe as an empirical study rather than a method claim</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6E5"/>
            <w:tcMar>
              <w:top w:w="120" w:type="dxa"/>
              <w:start w:w="150" w:type="dxa"/>
              <w:bottom w:w="120" w:type="dxa"/>
              <w:end w:w="150" w:type="dxa"/>
            </w:tcMar>
          </w:tcPr>
          <w:p>
            <w:pPr>
              <w:spacing w:after="60"/>
            </w:pPr>
            <w:r>
              <w:rPr>
                <w:b/>
                <w:color w:val="8B2E2E"/>
              </w:rPr>
              <w:t>The hardest scientific problem</w:t>
            </w:r>
          </w:p>
          <w:p>
            <w:pPr>
              <w:spacing w:after="0"/>
            </w:pPr>
            <w:r>
              <w:t>BurnIn-Bench must be difficult for the wrong reasons and informative for the right reasons. The model must not win by reading an easy simulator artifact, and the conformal experiment must not be contaminated by calibration leakage. These two controls deserve disproportionate attention.</w:t>
            </w:r>
          </w:p>
        </w:tc>
      </w:tr>
    </w:tbl>
    <w:p>
      <w:pPr>
        <w:pStyle w:val="Heading1"/>
        <w:keepNext/>
      </w:pPr>
      <w:r>
        <w:t>22. Final Consolidated Checklist</w:t>
      </w:r>
    </w:p>
    <w:p>
      <w:pPr>
        <w:pStyle w:val="ListBullet"/>
        <w:spacing w:after="30"/>
      </w:pPr>
      <w:r>
        <w:rPr>
          <w:sz w:val="19"/>
        </w:rPr>
        <w:t>Lock SIH 26170 as the application: component burn-in and screening.</w:t>
      </w:r>
    </w:p>
    <w:p>
      <w:pPr>
        <w:pStyle w:val="ListBullet"/>
        <w:spacing w:after="30"/>
      </w:pPr>
      <w:r>
        <w:rPr>
          <w:sz w:val="19"/>
        </w:rPr>
        <w:t>Use the major-project title “Adaptive AI-Based Latent-Defect Screening and Early Drift Prediction for High-Reliability Electronic Components.”</w:t>
      </w:r>
    </w:p>
    <w:p>
      <w:pPr>
        <w:pStyle w:val="ListBullet"/>
        <w:spacing w:after="30"/>
      </w:pPr>
      <w:r>
        <w:rPr>
          <w:sz w:val="19"/>
        </w:rPr>
        <w:t>Keep the core research architecture fixed as REPRESENT -&gt; DETECT -&gt; PREDICT -&gt; TRUST.</w:t>
      </w:r>
    </w:p>
    <w:p>
      <w:pPr>
        <w:pStyle w:val="ListBullet"/>
        <w:spacing w:after="30"/>
      </w:pPr>
      <w:r>
        <w:rPr>
          <w:sz w:val="19"/>
        </w:rPr>
        <w:t>Keep EXPLAIN as a supporting application layer; the LLM never controls disposition.</w:t>
      </w:r>
    </w:p>
    <w:p>
      <w:pPr>
        <w:pStyle w:val="ListBullet"/>
        <w:spacing w:after="30"/>
      </w:pPr>
      <w:r>
        <w:rPr>
          <w:sz w:val="19"/>
        </w:rPr>
        <w:t>Make the project 100% software and reproducible; remove hardware-in-the-loop from scope and success criteria.</w:t>
      </w:r>
    </w:p>
    <w:p>
      <w:pPr>
        <w:pStyle w:val="ListBullet"/>
        <w:spacing w:after="30"/>
      </w:pPr>
      <w:r>
        <w:rPr>
          <w:sz w:val="19"/>
        </w:rPr>
        <w:t>Build the six-layer BurnIn-Bench: Physics Prior -&gt; Manufacturing Variation -&gt; Latent State -&gt; Measurement Process -&gt; Shift -&gt; Ground Truth.</w:t>
      </w:r>
    </w:p>
    <w:p>
      <w:pPr>
        <w:pStyle w:val="ListBullet"/>
        <w:spacing w:after="30"/>
      </w:pPr>
      <w:r>
        <w:rPr>
          <w:sz w:val="19"/>
        </w:rPr>
        <w:t>Use Arrhenius only as an appropriate thermal acceleration prior; do not universalize it.</w:t>
      </w:r>
    </w:p>
    <w:p>
      <w:pPr>
        <w:pStyle w:val="ListBullet"/>
        <w:spacing w:after="30"/>
      </w:pPr>
      <w:r>
        <w:rPr>
          <w:sz w:val="19"/>
        </w:rPr>
        <w:t>Use Black as an electromigration stress / lifetime prior; do not equate it to direct resistance drift.</w:t>
      </w:r>
    </w:p>
    <w:p>
      <w:pPr>
        <w:pStyle w:val="ListBullet"/>
        <w:spacing w:after="30"/>
      </w:pPr>
      <w:r>
        <w:rPr>
          <w:sz w:val="19"/>
        </w:rPr>
        <w:t>Use literature-supported NBTI-inspired temporal laws; do not hard-code a universal logarithmic law.</w:t>
      </w:r>
    </w:p>
    <w:p>
      <w:pPr>
        <w:pStyle w:val="ListBullet"/>
        <w:spacing w:after="30"/>
      </w:pPr>
      <w:r>
        <w:rPr>
          <w:sz w:val="19"/>
        </w:rPr>
        <w:t>Split BurnIn-Bench ground truth into mechanism labels and operational outcome labels.</w:t>
      </w:r>
    </w:p>
    <w:p>
      <w:pPr>
        <w:pStyle w:val="ListBullet"/>
        <w:spacing w:after="30"/>
      </w:pPr>
      <w:r>
        <w:rPr>
          <w:sz w:val="19"/>
        </w:rPr>
        <w:t>Randomize nuisance variables and reserve hidden mechanism/parameter combinations.</w:t>
      </w:r>
    </w:p>
    <w:p>
      <w:pPr>
        <w:pStyle w:val="ListBullet"/>
        <w:spacing w:after="30"/>
      </w:pPr>
      <w:r>
        <w:rPr>
          <w:sz w:val="19"/>
        </w:rPr>
        <w:t>Split by lot for the main generalization experiment.</w:t>
      </w:r>
    </w:p>
    <w:p>
      <w:pPr>
        <w:pStyle w:val="ListBullet"/>
        <w:spacing w:after="30"/>
      </w:pPr>
      <w:r>
        <w:rPr>
          <w:sz w:val="19"/>
        </w:rPr>
        <w:t>Run label budgets at 100/50/20/10/5/1%.</w:t>
      </w:r>
    </w:p>
    <w:p>
      <w:pPr>
        <w:pStyle w:val="ListBullet"/>
        <w:spacing w:after="30"/>
      </w:pPr>
      <w:r>
        <w:rPr>
          <w:sz w:val="19"/>
        </w:rPr>
        <w:t>Keep future stages hidden at each early-warning horizon.</w:t>
      </w:r>
    </w:p>
    <w:p>
      <w:pPr>
        <w:pStyle w:val="ListBullet"/>
        <w:spacing w:after="30"/>
      </w:pPr>
      <w:r>
        <w:rPr>
          <w:sz w:val="19"/>
        </w:rPr>
        <w:t>Use CQR for continuous 168h drift intervals.</w:t>
      </w:r>
    </w:p>
    <w:p>
      <w:pPr>
        <w:pStyle w:val="ListBullet"/>
        <w:spacing w:after="30"/>
      </w:pPr>
      <w:r>
        <w:rPr>
          <w:sz w:val="19"/>
        </w:rPr>
        <w:t>Use Inductive/Split Conformal for anomaly prediction sets and map {NORMAL, DEFECT} to REVIEW.</w:t>
      </w:r>
    </w:p>
    <w:p>
      <w:pPr>
        <w:pStyle w:val="ListBullet"/>
        <w:spacing w:after="30"/>
      </w:pPr>
      <w:r>
        <w:rPr>
          <w:sz w:val="19"/>
        </w:rPr>
        <w:t>Make cross-lot conformal calibration degradation the primary trust experiment.</w:t>
      </w:r>
    </w:p>
    <w:p>
      <w:pPr>
        <w:pStyle w:val="ListBullet"/>
        <w:spacing w:after="30"/>
      </w:pPr>
      <w:r>
        <w:rPr>
          <w:sz w:val="19"/>
        </w:rPr>
        <w:t>Never claim conformal guarantees under arbitrary distribution shift.</w:t>
      </w:r>
    </w:p>
    <w:p>
      <w:pPr>
        <w:pStyle w:val="ListBullet"/>
        <w:spacing w:after="30"/>
      </w:pPr>
      <w:r>
        <w:rPr>
          <w:sz w:val="19"/>
        </w:rPr>
        <w:t>Measure FNR, lead time, PR-AUC, MAE/RMSE, interval coverage, interval width, prediction-set size, and risk-coverage.</w:t>
      </w:r>
    </w:p>
    <w:p>
      <w:pPr>
        <w:pStyle w:val="ListBullet"/>
        <w:spacing w:after="30"/>
      </w:pPr>
      <w:r>
        <w:rPr>
          <w:sz w:val="19"/>
        </w:rPr>
        <w:t>Use deterministic PASS / REVIEW / HIGH RISK logic outside the LLM.</w:t>
      </w:r>
    </w:p>
    <w:p>
      <w:pPr>
        <w:pStyle w:val="ListBullet"/>
        <w:spacing w:after="30"/>
      </w:pPr>
      <w:r>
        <w:rPr>
          <w:sz w:val="19"/>
        </w:rPr>
        <w:t>Implement accelerated replay through the same API and model path used by the dashboard.</w:t>
      </w:r>
    </w:p>
    <w:p>
      <w:pPr>
        <w:pStyle w:val="ListBullet"/>
        <w:spacing w:after="30"/>
      </w:pPr>
      <w:r>
        <w:rPr>
          <w:sz w:val="19"/>
        </w:rPr>
        <w:t>Version calibration sets, model versions, generator versions, and decision records.</w:t>
      </w:r>
    </w:p>
    <w:p>
      <w:pPr>
        <w:pStyle w:val="ListBullet"/>
        <w:spacing w:after="30"/>
      </w:pPr>
      <w:r>
        <w:rPr>
          <w:sz w:val="19"/>
        </w:rPr>
        <w:t>Freeze the hidden test protocol before final comparisons.</w:t>
      </w:r>
    </w:p>
    <w:p>
      <w:pPr>
        <w:pStyle w:val="ListBullet"/>
        <w:spacing w:after="30"/>
      </w:pPr>
      <w:r>
        <w:rPr>
          <w:sz w:val="19"/>
        </w:rPr>
        <w:t>During paper drafting, include the supporting LLM only where measured QA value justifies it.</w:t>
      </w:r>
    </w:p>
    <w:p>
      <w:pPr>
        <w:pStyle w:val="ListBullet"/>
        <w:spacing w:after="30"/>
      </w:pPr>
      <w:r>
        <w:rPr>
          <w:sz w:val="19"/>
        </w:rPr>
        <w:t>Publish code / benchmark generator / manifests where licensing and project policy permit.</w:t>
      </w:r>
    </w:p>
    <w:p>
      <w:pPr>
        <w:pStyle w:val="Heading1"/>
        <w:keepNext/>
      </w:pPr>
      <w:r>
        <w:t>References and Source Basis</w:t>
      </w:r>
    </w:p>
    <w:p>
      <w:pPr>
        <w:spacing w:after="100" w:line="254" w:lineRule="auto"/>
      </w:pPr>
      <w:r>
        <w:t>Internal source documents (provided in this conversation):</w:t>
      </w:r>
    </w:p>
    <w:p>
      <w:pPr>
        <w:spacing w:after="60"/>
        <w:ind w:left="317" w:hanging="317"/>
      </w:pPr>
      <w:r>
        <w:rPr>
          <w:b/>
        </w:rPr>
        <w:t xml:space="preserve">[I1] </w:t>
      </w:r>
      <w:r>
        <w:t>chatgpt history chats on 26170.pdf - 395-page consolidated research and project-selection history. Used for the research question, benchmark design, unseen-lot protocol, XAI/agent distinction, data caveats, and publication framing.</w:t>
      </w:r>
    </w:p>
    <w:p>
      <w:pPr>
        <w:spacing w:after="60"/>
        <w:ind w:left="317" w:hanging="317"/>
      </w:pPr>
      <w:r>
        <w:rPr>
          <w:b/>
        </w:rPr>
        <w:t xml:space="preserve">[I2] </w:t>
      </w:r>
      <w:r>
        <w:t>advacne burn in screening.docx - current Major Project Proposal &amp; Architecture Brief. Used for the SIH framing, proposed four engines, data strategy, software stack, and project scope.</w:t>
      </w:r>
    </w:p>
    <w:p>
      <w:pPr>
        <w:spacing w:after="100" w:line="254" w:lineRule="auto"/>
      </w:pPr>
      <w:r>
        <w:t>External sources checked for this blueprint (current through 18 September 2026):</w:t>
      </w:r>
    </w:p>
    <w:p>
      <w:pPr>
        <w:spacing w:after="60"/>
        <w:ind w:left="317" w:hanging="317"/>
      </w:pPr>
      <w:r>
        <w:rPr>
          <w:b/>
        </w:rPr>
        <w:t xml:space="preserve">[R1] </w:t>
      </w:r>
      <w:r>
        <w:t>SIH 26170 public problem record: AI-Driven Anomaly Detection in Component Burn-In &amp; Screening. Used to verify the staged measurement and screening problem framing.</w:t>
      </w:r>
      <w:hyperlink r:id="rId9">
        <w:r>
          <w:rPr>
            <w:color w:val="245B80"/>
            <w:u w:val="single"/>
          </w:rPr>
          <w:t>Link</w:t>
        </w:r>
      </w:hyperlink>
    </w:p>
    <w:p>
      <w:pPr>
        <w:spacing w:after="60"/>
        <w:ind w:left="317" w:hanging="317"/>
      </w:pPr>
      <w:r>
        <w:rPr>
          <w:b/>
        </w:rPr>
        <w:t xml:space="preserve">[R2] </w:t>
      </w:r>
      <w:r>
        <w:t>Ahmed, I., Baraldi, P., Zio, E., Lewitschnig, H. (2025). A data-driven modelling framework for predicting the quality of semiconductor devices to support burn-in decisions. Computers &amp; Industrial Engineering, 204, 111115. DOI 10.1016/j.cie.2025.111115.</w:t>
      </w:r>
      <w:hyperlink r:id="rId10">
        <w:r>
          <w:rPr>
            <w:color w:val="245B80"/>
            <w:u w:val="single"/>
          </w:rPr>
          <w:t>Link</w:t>
        </w:r>
      </w:hyperlink>
    </w:p>
    <w:p>
      <w:pPr>
        <w:spacing w:after="60"/>
        <w:ind w:left="317" w:hanging="317"/>
      </w:pPr>
      <w:r>
        <w:rPr>
          <w:b/>
        </w:rPr>
        <w:t xml:space="preserve">[R7] </w:t>
      </w:r>
      <w:r>
        <w:t>Renesas. Semiconductor Reliability Handbook, Appendix C: Failure Models for Accelerated Life Testing. Includes Arrhenius reaction-theory modelling and related reliability caveats.</w:t>
      </w:r>
      <w:hyperlink r:id="rId11">
        <w:r>
          <w:rPr>
            <w:color w:val="245B80"/>
            <w:u w:val="single"/>
          </w:rPr>
          <w:t>Link</w:t>
        </w:r>
      </w:hyperlink>
    </w:p>
    <w:p>
      <w:pPr>
        <w:spacing w:after="60"/>
        <w:ind w:left="317" w:hanging="317"/>
      </w:pPr>
      <w:r>
        <w:rPr>
          <w:b/>
        </w:rPr>
        <w:t xml:space="preserve">[R8] </w:t>
      </w:r>
      <w:r>
        <w:t>Black, J. R. (1969). Electromigration - A Brief Survey and Some Recent Results. IEEE Transactions on Electron Devices, 16(4), 338-347. DOI 10.1109/T-ED.1969.16754.</w:t>
      </w:r>
      <w:hyperlink r:id="rId12">
        <w:r>
          <w:rPr>
            <w:color w:val="245B80"/>
            <w:u w:val="single"/>
          </w:rPr>
          <w:t>Link</w:t>
        </w:r>
      </w:hyperlink>
    </w:p>
    <w:p>
      <w:pPr>
        <w:spacing w:after="60"/>
        <w:ind w:left="317" w:hanging="317"/>
      </w:pPr>
      <w:r>
        <w:rPr>
          <w:b/>
        </w:rPr>
        <w:t xml:space="preserve">[R9] </w:t>
      </w:r>
      <w:r>
        <w:t>Entner, R. Modeling of Negative Bias Temperature Instability. Technical treatment of NBTI time exponents and stress/temperature dependence; used here to justify flexible NBTI-inspired regimes rather than a single universal time law.</w:t>
      </w:r>
      <w:hyperlink r:id="rId13">
        <w:r>
          <w:rPr>
            <w:color w:val="245B80"/>
            <w:u w:val="single"/>
          </w:rPr>
          <w:t>Link</w:t>
        </w:r>
      </w:hyperlink>
    </w:p>
    <w:p>
      <w:pPr>
        <w:spacing w:after="60"/>
        <w:ind w:left="317" w:hanging="317"/>
      </w:pPr>
      <w:r>
        <w:rPr>
          <w:b/>
        </w:rPr>
        <w:t xml:space="preserve">[R10] </w:t>
      </w:r>
      <w:r>
        <w:t>Romano, Y., Patterson, E., Candès, E. (2019). Conformalized Quantile Regression. Advances in Neural Information Processing Systems 32 (NeurIPS 2019).</w:t>
      </w:r>
      <w:hyperlink r:id="rId14">
        <w:r>
          <w:rPr>
            <w:color w:val="245B80"/>
            <w:u w:val="single"/>
          </w:rPr>
          <w:t>Link</w:t>
        </w:r>
      </w:hyperlink>
    </w:p>
    <w:p>
      <w:pPr>
        <w:spacing w:after="60"/>
        <w:ind w:left="317" w:hanging="317"/>
      </w:pPr>
      <w:r>
        <w:rPr>
          <w:b/>
        </w:rPr>
        <w:t xml:space="preserve">[R11] </w:t>
      </w:r>
      <w:r>
        <w:t>UCI Machine Learning Repository - SECOM dataset. Semiconductor manufacturing process data used here as a manufacturing-anomaly proxy, not burn-in ground truth.</w:t>
      </w:r>
      <w:hyperlink r:id="rId15">
        <w:r>
          <w:rPr>
            <w:color w:val="245B80"/>
            <w:u w:val="single"/>
          </w:rPr>
          <w:t>Link</w:t>
        </w:r>
      </w:hyperlink>
    </w:p>
    <w:p>
      <w:pPr>
        <w:spacing w:after="60"/>
        <w:ind w:left="317" w:hanging="317"/>
      </w:pPr>
      <w:r>
        <w:rPr>
          <w:b/>
        </w:rPr>
        <w:t xml:space="preserve">[R12] </w:t>
      </w:r>
      <w:r>
        <w:t>NASA Prognostics Center of Excellence data repository. IGBT accelerated-aging and MOSFET thermal-overstress datasets are used here as degradation/time-series proxies, not exact SIH 26170 burn-in data.</w:t>
      </w:r>
      <w:hyperlink r:id="rId16">
        <w:r>
          <w:rPr>
            <w:color w:val="245B80"/>
            <w:u w:val="single"/>
          </w:rPr>
          <w:t>Link</w:t>
        </w:r>
      </w:hyperlink>
    </w:p>
    <w:p>
      <w:pPr>
        <w:spacing w:after="60"/>
        <w:ind w:left="317" w:hanging="317"/>
      </w:pPr>
      <w:r>
        <w:rPr>
          <w:b/>
        </w:rPr>
        <w:t xml:space="preserve">[R13] </w:t>
      </w:r>
      <w:r>
        <w:t>Schlembach, F., Smirnov, E., Koprinska, I., Winands, M. H. M. (2025). Conformal multistep-ahead multivariate time-series forecasting. Machine Learning, 114, 165. DOI 10.1007/s10994-024-06722-9.</w:t>
      </w:r>
      <w:hyperlink r:id="rId17">
        <w:r>
          <w:rPr>
            <w:color w:val="245B80"/>
            <w:u w:val="single"/>
          </w:rPr>
          <w:t>Link</w:t>
        </w:r>
      </w:hyperlink>
    </w:p>
    <w:p>
      <w:pPr>
        <w:spacing w:after="60"/>
        <w:ind w:left="317" w:hanging="317"/>
      </w:pPr>
      <w:r>
        <w:rPr>
          <w:b/>
        </w:rPr>
        <w:t xml:space="preserve">[R14] </w:t>
      </w:r>
      <w:r>
        <w:t>Schlembach, F., Smirnov, E., Koprinska, I. (2022). Conformal Multistep-Ahead Multivariate Time-Series Forecasting. Proceedings of the Eleventh Symposium on Conformal and Probabilistic Prediction with Applications, PMLR 179.</w:t>
      </w:r>
      <w:hyperlink r:id="rId18">
        <w:r>
          <w:rPr>
            <w:color w:val="245B80"/>
            <w:u w:val="single"/>
          </w:rPr>
          <w:t>Link</w:t>
        </w:r>
      </w:hyperlink>
    </w:p>
    <w:p>
      <w:pPr>
        <w:spacing w:after="60"/>
        <w:ind w:left="317" w:hanging="317"/>
      </w:pPr>
      <w:r>
        <w:rPr>
          <w:b/>
        </w:rPr>
        <w:t xml:space="preserve">[R15] </w:t>
      </w:r>
      <w:r>
        <w:t>Supporting current-literature check: recent work on distribution-shift-aware industrial anomaly detection, self-supervised semiconductor defect learning, and agentic / LLM-assisted manufacturing diagnosis was reviewed to prevent novelty overclaiming. Specific current papers should be rechecked and cited directly in the final manuscript after the exact model and experiments are frozen.</w:t>
      </w:r>
    </w:p>
    <w:p>
      <w:pPr>
        <w:pStyle w:val="Heading1"/>
        <w:keepNext/>
        <w:pageBreakBefore/>
      </w:pPr>
      <w:r>
        <w:t>Final Team Statement</w:t>
      </w:r>
    </w:p>
    <w:tbl>
      <w:tblPr>
        <w:tblW w:type="auto" w:w="0"/>
        <w:jc w:val="center"/>
        <w:tblLook w:firstColumn="1" w:firstRow="1" w:lastColumn="0" w:lastRow="0" w:noHBand="0" w:noVBand="1" w:val="04A0"/>
      </w:tblPr>
      <w:tblGrid>
        <w:gridCol w:w="10166"/>
      </w:tblGrid>
      <w:tr>
        <w:trPr>
          <w:cantSplit/>
        </w:trPr>
        <w:tc>
          <w:tcPr>
            <w:tcW w:type="dxa" w:w="10166"/>
            <w:shd w:fill="EAF1F5"/>
            <w:tcMar>
              <w:top w:w="120" w:type="dxa"/>
              <w:start w:w="150" w:type="dxa"/>
              <w:bottom w:w="120" w:type="dxa"/>
              <w:end w:w="150" w:type="dxa"/>
            </w:tcMar>
          </w:tcPr>
          <w:p>
            <w:pPr>
              <w:spacing w:after="60"/>
            </w:pPr>
            <w:r>
              <w:rPr>
                <w:b/>
                <w:color w:val="183A5A"/>
              </w:rPr>
              <w:t>Recommended one-paragraph description</w:t>
            </w:r>
          </w:p>
          <w:p>
            <w:pPr>
              <w:spacing w:after="0"/>
            </w:pPr>
            <w:r>
              <w:t>We are developing a software-only adaptive AI screening layer for high-reliability electronic component burn-in. The system learns component behaviour from mostly unlabeled measurement trajectories, models how each component differs from its production lot and its early trajectory, predicts late-stage drift from early observations, detects cross-lot distribution shift, quantifies uncertainty with Conformalized Quantile Regression and Inductive/Split Conformal prediction, and converts verified evidence into an auditable PASS / REVIEW / HIGH RISK decision. The scientific core is evaluated on public/proxy data and a physics-informed six-layer BurnIn-Bench under label scarcity, unseen-lot conditions, and controlled distribution shift. A deterministic replay engine provides the complete software demonstration path. An evidence-grounded diagnostic LLM/agent is optional and supporting only: it summarizes verified evidence for QA users and can assist investigation, but it never controls the screening decision or establishes physical root cause.</w:t>
            </w:r>
          </w:p>
        </w:tc>
      </w:tr>
    </w:tbl>
    <w:sectPr w:rsidR="00FC693F" w:rsidRPr="0006063C" w:rsidSect="00034616">
      <w:headerReference w:type="default" r:id="rId19"/>
      <w:footerReference w:type="default" r:id="rId2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97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D6975"/>
        <w:sz w:val="17"/>
      </w:rPr>
      <w:t>SIH 26170 | Adaptive Latent-Defect Screening Research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B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E7D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h2026.vuce.in/ps/SIH26170" TargetMode="External"/><Relationship Id="rId10" Type="http://schemas.openxmlformats.org/officeDocument/2006/relationships/hyperlink" Target="https://doi.org/10.1016/j.cie.2025.111115" TargetMode="External"/><Relationship Id="rId11" Type="http://schemas.openxmlformats.org/officeDocument/2006/relationships/hyperlink" Target="https://www.renesas.com/en/document/grl/semiconductor-reliability-handbook" TargetMode="External"/><Relationship Id="rId12" Type="http://schemas.openxmlformats.org/officeDocument/2006/relationships/hyperlink" Target="https://doi.org/10.1109/T-ED.1969.16754" TargetMode="External"/><Relationship Id="rId13" Type="http://schemas.openxmlformats.org/officeDocument/2006/relationships/hyperlink" Target="https://www.iue.tuwien.ac.at/phd/entner/node26.html" TargetMode="External"/><Relationship Id="rId14" Type="http://schemas.openxmlformats.org/officeDocument/2006/relationships/hyperlink" Target="https://papers.neurips.cc/paper_files/paper/2019/hash/5103c3584b063c431bd1268e9b5e76fb-Abstract.html" TargetMode="External"/><Relationship Id="rId15" Type="http://schemas.openxmlformats.org/officeDocument/2006/relationships/hyperlink" Target="https://archive.ics.uci.edu/dataset/179/secom" TargetMode="External"/><Relationship Id="rId16" Type="http://schemas.openxmlformats.org/officeDocument/2006/relationships/hyperlink" Target="https://www.nasa.gov/intelligent-systems-division/discovery-and-systems-health/pcoe/pcoe-data-set-repository/" TargetMode="External"/><Relationship Id="rId17" Type="http://schemas.openxmlformats.org/officeDocument/2006/relationships/hyperlink" Target="https://doi.org/10.1007/s10994-024-06722-9" TargetMode="External"/><Relationship Id="rId18" Type="http://schemas.openxmlformats.org/officeDocument/2006/relationships/hyperlink" Target="https://proceedings.mlr.press/v179/schlembach22a.html" TargetMode="Externa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26170 - Academic Research and Publication Blueprint v2.0 - Locked Scope</dc:title>
  <dc:subject>Software-only adaptive latent-defect screening, conformal uncertainty under cross-lot shift, and physics-informed BurnIn-Bench</dc:subject>
  <dc:creator>Research project team</dc:creator>
  <cp:keywords>SIH 26170, burn-in screening, anomaly detection, self-supervised learning, distribution shift, conformal prediction, CQR, split conformal, BurnIn-Bench, reliability</cp:keywords>
  <dc:description>Final locked software-only blueprint derived from supplied project-history PDF and proposal DOCX, with current literature verification.</dc:description>
  <cp:lastModifiedBy/>
  <cp:revision>1</cp:revision>
  <dcterms:created xsi:type="dcterms:W3CDTF">2013-12-23T23:15:00Z</dcterms:created>
  <dcterms:modified xsi:type="dcterms:W3CDTF">2013-12-23T23:15:00Z</dcterms:modified>
  <cp:category/>
</cp:coreProperties>
</file>