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59C5" w14:textId="77777777" w:rsidR="00C75EA5" w:rsidRPr="00096FF0" w:rsidRDefault="00000000" w:rsidP="00096FF0">
      <w:pPr>
        <w:pStyle w:val="Heading1"/>
        <w:jc w:val="center"/>
        <w:rPr>
          <w:rFonts w:ascii="ADLaM Display" w:hAnsi="ADLaM Display" w:cs="ADLaM Display"/>
          <w:sz w:val="72"/>
          <w:szCs w:val="72"/>
        </w:rPr>
      </w:pPr>
      <w:bookmarkStart w:id="0" w:name="customer-churn-analysis"/>
      <w:r w:rsidRPr="00096FF0">
        <w:rPr>
          <w:rFonts w:ascii="ADLaM Display" w:hAnsi="ADLaM Display" w:cs="ADLaM Display"/>
          <w:sz w:val="72"/>
          <w:szCs w:val="72"/>
        </w:rPr>
        <w:t>Customer Churn Analysis</w:t>
      </w:r>
    </w:p>
    <w:p w14:paraId="60364750" w14:textId="77777777" w:rsidR="00C75EA5" w:rsidRDefault="00000000">
      <w:pPr>
        <w:pStyle w:val="BodyText"/>
      </w:pPr>
      <w:bookmarkStart w:id="1" w:name="executive-summary"/>
      <w:r>
        <w:t xml:space="preserve">The analysis follows a disciplined data science lifecycle: data acquisition, data quality management, exploratory analysis, statistical validation, feature engineering and selection, and dimensionality reduction using Principal Component Analysis (PCA). The purpose of this report is not only to explain </w:t>
      </w:r>
      <w:r>
        <w:rPr>
          <w:i/>
          <w:iCs/>
        </w:rPr>
        <w:t>what</w:t>
      </w:r>
      <w:r>
        <w:t xml:space="preserve"> was done, but </w:t>
      </w:r>
      <w:r>
        <w:rPr>
          <w:i/>
          <w:iCs/>
        </w:rPr>
        <w:t>why</w:t>
      </w:r>
      <w:r>
        <w:t xml:space="preserve"> each decision was made and </w:t>
      </w:r>
      <w:r>
        <w:rPr>
          <w:i/>
          <w:iCs/>
        </w:rPr>
        <w:t>how</w:t>
      </w:r>
      <w:r>
        <w:t xml:space="preserve"> it supports business decision-making.</w:t>
      </w:r>
    </w:p>
    <w:p w14:paraId="1D5AAF04" w14:textId="77777777" w:rsidR="00C75EA5" w:rsidRDefault="00000000">
      <w:r>
        <w:pict w14:anchorId="3147953C">
          <v:rect id="_x0000_i1481" style="width:0;height:1.5pt" o:hralign="center" o:hrstd="t" o:hr="t"/>
        </w:pict>
      </w:r>
    </w:p>
    <w:p w14:paraId="3AF8F5F5" w14:textId="77777777" w:rsidR="00C75EA5" w:rsidRDefault="00000000">
      <w:pPr>
        <w:pStyle w:val="Heading2"/>
      </w:pPr>
      <w:bookmarkStart w:id="2" w:name="business-analytical-problem-definition"/>
      <w:bookmarkEnd w:id="1"/>
      <w:r>
        <w:t>1. Business &amp; Analytical Problem Definition</w:t>
      </w:r>
    </w:p>
    <w:p w14:paraId="7C00991C" w14:textId="77777777" w:rsidR="00C75EA5" w:rsidRDefault="00000000">
      <w:pPr>
        <w:pStyle w:val="Heading3"/>
      </w:pPr>
      <w:bookmarkStart w:id="3" w:name="business-context"/>
      <w:r>
        <w:t>1.1 Business Context</w:t>
      </w:r>
    </w:p>
    <w:p w14:paraId="3DFEB099" w14:textId="77777777" w:rsidR="00C75EA5" w:rsidRDefault="00000000">
      <w:pPr>
        <w:pStyle w:val="FirstParagraph"/>
      </w:pPr>
      <w:r>
        <w:t>In the telecommunications sector, customer churn poses a major financial risk due to high customer acquisition costs and relatively low switching barriers. Understanding churn behavior is essential for improving customer lifetime value, optimizing pricing strategies, and designing effective retention programs.</w:t>
      </w:r>
    </w:p>
    <w:p w14:paraId="6EC9A6EF" w14:textId="77777777" w:rsidR="00C75EA5" w:rsidRDefault="00000000">
      <w:pPr>
        <w:pStyle w:val="BodyText"/>
      </w:pPr>
      <w:r>
        <w:t>The dataset used in this project represents real-world telecom customers with varying contract structures, billing methods, service bundles, and tenure durations.</w:t>
      </w:r>
    </w:p>
    <w:p w14:paraId="4916185C" w14:textId="77777777" w:rsidR="00C75EA5" w:rsidRDefault="00000000">
      <w:pPr>
        <w:pStyle w:val="Heading3"/>
      </w:pPr>
      <w:bookmarkStart w:id="4" w:name="problem-statement"/>
      <w:bookmarkEnd w:id="3"/>
      <w:r>
        <w:t>1.2 Problem Statement</w:t>
      </w:r>
    </w:p>
    <w:p w14:paraId="6FB14CDF" w14:textId="77777777" w:rsidR="00C75EA5" w:rsidRDefault="00000000">
      <w:pPr>
        <w:pStyle w:val="FirstParagraph"/>
      </w:pPr>
      <w:r>
        <w:t>The organization seeks to answer the following core question:</w:t>
      </w:r>
    </w:p>
    <w:p w14:paraId="7FDF03D7" w14:textId="77777777" w:rsidR="00C75EA5" w:rsidRDefault="00000000">
      <w:pPr>
        <w:pStyle w:val="BlockText"/>
      </w:pPr>
      <w:r>
        <w:rPr>
          <w:b/>
          <w:bCs/>
        </w:rPr>
        <w:t>Which customer characteristics and behaviors most strongly influence churn, and are these effects statistically significant?</w:t>
      </w:r>
    </w:p>
    <w:p w14:paraId="29A340A0" w14:textId="77777777" w:rsidR="00C75EA5" w:rsidRDefault="00000000">
      <w:pPr>
        <w:pStyle w:val="Heading3"/>
      </w:pPr>
      <w:bookmarkStart w:id="5" w:name="analytical-objectives"/>
      <w:bookmarkEnd w:id="4"/>
      <w:r>
        <w:t>1.3 Analytical Objectives</w:t>
      </w:r>
    </w:p>
    <w:p w14:paraId="76F2F4CA" w14:textId="77777777" w:rsidR="00C75EA5" w:rsidRDefault="00000000">
      <w:pPr>
        <w:pStyle w:val="FirstParagraph"/>
      </w:pPr>
      <w:r>
        <w:t xml:space="preserve">This project aims to: - Identify key churn drivers using </w:t>
      </w:r>
      <w:r>
        <w:rPr>
          <w:b/>
          <w:bCs/>
        </w:rPr>
        <w:t>data-driven and statistically validated methods</w:t>
      </w:r>
      <w:r>
        <w:t xml:space="preserve"> - Quantify relationships between churn and customer attributes - Engineer business-meaningful features that improve explanatory power - Reduce feature dimensionality while preserving interpretability - Provide insights that can directly inform retention strategies</w:t>
      </w:r>
    </w:p>
    <w:p w14:paraId="61A5F233" w14:textId="77777777" w:rsidR="00C75EA5" w:rsidRDefault="00000000">
      <w:pPr>
        <w:pStyle w:val="Heading3"/>
      </w:pPr>
      <w:bookmarkStart w:id="6" w:name="target-variable-definition"/>
      <w:bookmarkEnd w:id="5"/>
      <w:r>
        <w:t>1.4 Target Variable Definition</w:t>
      </w:r>
    </w:p>
    <w:p w14:paraId="36498271" w14:textId="77777777" w:rsidR="00C75EA5" w:rsidRDefault="00000000">
      <w:pPr>
        <w:pStyle w:val="Compact"/>
        <w:numPr>
          <w:ilvl w:val="0"/>
          <w:numId w:val="2"/>
        </w:numPr>
      </w:pPr>
      <w:r>
        <w:rPr>
          <w:b/>
          <w:bCs/>
        </w:rPr>
        <w:t>Churn (Binary Target Variable)</w:t>
      </w:r>
    </w:p>
    <w:p w14:paraId="3D1E02D1" w14:textId="77777777" w:rsidR="00C75EA5" w:rsidRDefault="00000000">
      <w:pPr>
        <w:pStyle w:val="Compact"/>
        <w:numPr>
          <w:ilvl w:val="1"/>
          <w:numId w:val="3"/>
        </w:numPr>
      </w:pPr>
      <w:r>
        <w:rPr>
          <w:rStyle w:val="VerbatimChar"/>
        </w:rPr>
        <w:t>1</w:t>
      </w:r>
      <w:r>
        <w:t xml:space="preserve"> → Customer has churned</w:t>
      </w:r>
    </w:p>
    <w:p w14:paraId="435ED6A1" w14:textId="77777777" w:rsidR="00C75EA5" w:rsidRDefault="00000000">
      <w:pPr>
        <w:pStyle w:val="Compact"/>
        <w:numPr>
          <w:ilvl w:val="1"/>
          <w:numId w:val="3"/>
        </w:numPr>
      </w:pPr>
      <w:r>
        <w:rPr>
          <w:rStyle w:val="VerbatimChar"/>
        </w:rPr>
        <w:t>0</w:t>
      </w:r>
      <w:r>
        <w:t xml:space="preserve"> → Customer has been retained</w:t>
      </w:r>
    </w:p>
    <w:p w14:paraId="285CBC00" w14:textId="77777777" w:rsidR="00C75EA5" w:rsidRDefault="00000000">
      <w:r>
        <w:pict w14:anchorId="2234F38B">
          <v:rect id="_x0000_i1482" style="width:0;height:1.5pt" o:hralign="center" o:hrstd="t" o:hr="t"/>
        </w:pict>
      </w:r>
    </w:p>
    <w:p w14:paraId="08A519DB" w14:textId="77777777" w:rsidR="00C75EA5" w:rsidRDefault="00000000">
      <w:pPr>
        <w:pStyle w:val="Heading2"/>
      </w:pPr>
      <w:bookmarkStart w:id="7" w:name="related-work-literature-review"/>
      <w:bookmarkEnd w:id="2"/>
      <w:bookmarkEnd w:id="6"/>
      <w:r>
        <w:lastRenderedPageBreak/>
        <w:t>2. Related Work &amp; Literature Review</w:t>
      </w:r>
    </w:p>
    <w:p w14:paraId="40DD8F78" w14:textId="77777777" w:rsidR="00C75EA5" w:rsidRDefault="00000000">
      <w:pPr>
        <w:pStyle w:val="FirstParagraph"/>
      </w:pPr>
      <w:r>
        <w:t>Previous studies in customer churn analytics consistently highlight the importance of tenure, pricing sensitivity, and contractual commitment. Research in telecom churn modeling emphasizes the value of combining: - Exploratory Data Analysis (EDA) - Statistical hypothesis testing - Feature engineering - Dimensionality reduction</w:t>
      </w:r>
    </w:p>
    <w:p w14:paraId="0ED5CF2E" w14:textId="096A6BF3" w:rsidR="00C75EA5" w:rsidRDefault="00000000">
      <w:pPr>
        <w:pStyle w:val="BodyText"/>
      </w:pPr>
      <w:r>
        <w:t xml:space="preserve">Rather than relying exclusively on predictive models, this project adopts a </w:t>
      </w:r>
      <w:r>
        <w:rPr>
          <w:b/>
          <w:bCs/>
        </w:rPr>
        <w:t>transparent and explainable analytical approach</w:t>
      </w:r>
      <w:r>
        <w:t>, aligning with best practices in modern data science and business analytics.</w:t>
      </w:r>
    </w:p>
    <w:p w14:paraId="3B79D05B" w14:textId="77777777" w:rsidR="00C75EA5" w:rsidRDefault="00000000">
      <w:r>
        <w:pict w14:anchorId="646FDFAE">
          <v:rect id="_x0000_i1483" style="width:0;height:1.5pt" o:hralign="center" o:hrstd="t" o:hr="t"/>
        </w:pict>
      </w:r>
    </w:p>
    <w:p w14:paraId="4B3B192F" w14:textId="77777777" w:rsidR="00C75EA5" w:rsidRDefault="00000000">
      <w:pPr>
        <w:pStyle w:val="Heading2"/>
      </w:pPr>
      <w:bookmarkStart w:id="8" w:name="dataset-overview"/>
      <w:bookmarkEnd w:id="7"/>
      <w:r>
        <w:t>3. Dataset Overview</w:t>
      </w:r>
    </w:p>
    <w:p w14:paraId="35421005" w14:textId="77777777" w:rsidR="00C75EA5" w:rsidRDefault="00000000">
      <w:pPr>
        <w:pStyle w:val="Heading3"/>
      </w:pPr>
      <w:bookmarkStart w:id="9" w:name="data-source"/>
      <w:r>
        <w:t>3.1 Data Source</w:t>
      </w:r>
    </w:p>
    <w:p w14:paraId="426D5187" w14:textId="77777777" w:rsidR="00C75EA5" w:rsidRDefault="00000000">
      <w:pPr>
        <w:pStyle w:val="Compact"/>
        <w:numPr>
          <w:ilvl w:val="0"/>
          <w:numId w:val="4"/>
        </w:numPr>
      </w:pPr>
      <w:r>
        <w:rPr>
          <w:b/>
          <w:bCs/>
        </w:rPr>
        <w:t>Dataset:</w:t>
      </w:r>
      <w:r>
        <w:t xml:space="preserve"> Telco Customer Churn Dataset</w:t>
      </w:r>
    </w:p>
    <w:p w14:paraId="76DD8D58" w14:textId="77777777" w:rsidR="00C75EA5" w:rsidRDefault="00000000">
      <w:pPr>
        <w:pStyle w:val="Compact"/>
        <w:numPr>
          <w:ilvl w:val="0"/>
          <w:numId w:val="4"/>
        </w:numPr>
      </w:pPr>
      <w:r>
        <w:rPr>
          <w:b/>
          <w:bCs/>
        </w:rPr>
        <w:t>Nature:</w:t>
      </w:r>
      <w:r>
        <w:t xml:space="preserve"> Real-world, customer-level transactional and subscription data</w:t>
      </w:r>
    </w:p>
    <w:p w14:paraId="2C8458FD" w14:textId="77777777" w:rsidR="00C75EA5" w:rsidRDefault="00000000">
      <w:pPr>
        <w:pStyle w:val="Heading3"/>
      </w:pPr>
      <w:bookmarkStart w:id="10" w:name="feature-composition"/>
      <w:bookmarkEnd w:id="9"/>
      <w:r>
        <w:t>3.2 Feature Composition</w:t>
      </w:r>
    </w:p>
    <w:p w14:paraId="6C56AAAA" w14:textId="77777777" w:rsidR="00C75EA5" w:rsidRDefault="00000000">
      <w:pPr>
        <w:pStyle w:val="Compact"/>
        <w:numPr>
          <w:ilvl w:val="0"/>
          <w:numId w:val="5"/>
        </w:numPr>
      </w:pPr>
      <w:r>
        <w:rPr>
          <w:b/>
          <w:bCs/>
        </w:rPr>
        <w:t>Numerical Features:</w:t>
      </w:r>
      <w:r>
        <w:t xml:space="preserve"> tenure, MonthlyCharges, TotalCharges</w:t>
      </w:r>
    </w:p>
    <w:p w14:paraId="53DE23E8" w14:textId="77777777" w:rsidR="00C75EA5" w:rsidRDefault="00000000">
      <w:pPr>
        <w:pStyle w:val="Compact"/>
        <w:numPr>
          <w:ilvl w:val="0"/>
          <w:numId w:val="5"/>
        </w:numPr>
      </w:pPr>
      <w:r>
        <w:rPr>
          <w:b/>
          <w:bCs/>
        </w:rPr>
        <w:t>Categorical Features:</w:t>
      </w:r>
      <w:r>
        <w:t xml:space="preserve"> Contract, PaymentMethod, service subscriptions, billing preferences</w:t>
      </w:r>
    </w:p>
    <w:p w14:paraId="0C1467B5" w14:textId="77777777" w:rsidR="00C75EA5" w:rsidRDefault="00000000">
      <w:pPr>
        <w:pStyle w:val="FirstParagraph"/>
      </w:pPr>
      <w:r>
        <w:t>Each observation represents a unique customer and their associated service attributes at the time of analysis.</w:t>
      </w:r>
    </w:p>
    <w:p w14:paraId="05DB37DD" w14:textId="77777777" w:rsidR="00C75EA5" w:rsidRDefault="00000000">
      <w:r>
        <w:pict w14:anchorId="32E4FB4A">
          <v:rect id="_x0000_i1484" style="width:0;height:1.5pt" o:hralign="center" o:hrstd="t" o:hr="t"/>
        </w:pict>
      </w:r>
    </w:p>
    <w:p w14:paraId="6B2E8C3C" w14:textId="7C13DDC7" w:rsidR="00096FF0" w:rsidRDefault="00000000" w:rsidP="00096FF0">
      <w:pPr>
        <w:pStyle w:val="Heading2"/>
      </w:pPr>
      <w:bookmarkStart w:id="11" w:name="end-to-end-analytical-workflow"/>
      <w:bookmarkEnd w:id="8"/>
      <w:bookmarkEnd w:id="10"/>
      <w:r>
        <w:t>4. End-to-End Analytical Workflow</w:t>
      </w:r>
    </w:p>
    <w:p w14:paraId="055186D9" w14:textId="77777777" w:rsidR="00096FF0" w:rsidRDefault="00000000">
      <w:pPr>
        <w:pStyle w:val="BodyText"/>
      </w:pPr>
      <w:r>
        <w:rPr>
          <w:b/>
          <w:bCs/>
        </w:rPr>
        <w:t>Workflow Steps:</w:t>
      </w:r>
      <w:r>
        <w:t xml:space="preserve"> </w:t>
      </w:r>
    </w:p>
    <w:p w14:paraId="05AF8E6E" w14:textId="77777777" w:rsidR="00096FF0" w:rsidRDefault="00000000">
      <w:pPr>
        <w:pStyle w:val="BodyText"/>
      </w:pPr>
      <w:r>
        <w:t xml:space="preserve">1. Data Loading and Initial Inspection </w:t>
      </w:r>
    </w:p>
    <w:p w14:paraId="70FF193B" w14:textId="77777777" w:rsidR="00096FF0" w:rsidRDefault="00000000" w:rsidP="00096FF0">
      <w:pPr>
        <w:pStyle w:val="BodyText"/>
      </w:pPr>
      <w:r>
        <w:t xml:space="preserve">2. Data Wrangling and Quality Assurance </w:t>
      </w:r>
    </w:p>
    <w:p w14:paraId="60544DDC" w14:textId="77777777" w:rsidR="00096FF0" w:rsidRDefault="00000000" w:rsidP="00096FF0">
      <w:pPr>
        <w:pStyle w:val="BodyText"/>
      </w:pPr>
      <w:r>
        <w:t xml:space="preserve">3. Exploratory Data Analysis (EDA) </w:t>
      </w:r>
    </w:p>
    <w:p w14:paraId="1D22E6E1" w14:textId="77777777" w:rsidR="00096FF0" w:rsidRDefault="00000000" w:rsidP="00096FF0">
      <w:pPr>
        <w:pStyle w:val="BodyText"/>
      </w:pPr>
      <w:r>
        <w:t xml:space="preserve">4. Feature Engineering </w:t>
      </w:r>
    </w:p>
    <w:p w14:paraId="2138B46A" w14:textId="77777777" w:rsidR="00096FF0" w:rsidRDefault="00000000" w:rsidP="00096FF0">
      <w:pPr>
        <w:pStyle w:val="BodyText"/>
      </w:pPr>
      <w:r>
        <w:t xml:space="preserve">5. Feature Selection </w:t>
      </w:r>
    </w:p>
    <w:p w14:paraId="7665ED4E" w14:textId="77777777" w:rsidR="00096FF0" w:rsidRDefault="00000000" w:rsidP="00096FF0">
      <w:pPr>
        <w:pStyle w:val="BodyText"/>
      </w:pPr>
      <w:r>
        <w:t xml:space="preserve">6. Probability Analysis &amp; Hypothesis Testing </w:t>
      </w:r>
    </w:p>
    <w:p w14:paraId="22BB8D07" w14:textId="77777777" w:rsidR="00096FF0" w:rsidRDefault="00000000" w:rsidP="00096FF0">
      <w:pPr>
        <w:pStyle w:val="BodyText"/>
      </w:pPr>
      <w:r>
        <w:t xml:space="preserve">7. Dimensionality Reduction using PCA </w:t>
      </w:r>
    </w:p>
    <w:p w14:paraId="325DE985" w14:textId="3F4DB23C" w:rsidR="00C75EA5" w:rsidRDefault="00000000" w:rsidP="00096FF0">
      <w:pPr>
        <w:pStyle w:val="BodyText"/>
      </w:pPr>
      <w:r>
        <w:t>8. Insight Consolidation and Business Interpretation</w:t>
      </w:r>
    </w:p>
    <w:p w14:paraId="082DAE95" w14:textId="77777777" w:rsidR="00C75EA5" w:rsidRDefault="00000000">
      <w:pPr>
        <w:pStyle w:val="Heading2"/>
      </w:pPr>
      <w:bookmarkStart w:id="12" w:name="data-wrangling-data-quality-management"/>
      <w:bookmarkEnd w:id="11"/>
      <w:r>
        <w:lastRenderedPageBreak/>
        <w:t>5. Data Wrangling &amp; Data Quality Management</w:t>
      </w:r>
    </w:p>
    <w:p w14:paraId="5B8F3EE1" w14:textId="77777777" w:rsidR="00C75EA5" w:rsidRDefault="00000000">
      <w:pPr>
        <w:pStyle w:val="FirstParagraph"/>
      </w:pPr>
      <w:r>
        <w:t>Data wrangling was treated as a critical analytical phase to ensure accuracy, consistency, and downstream reliability.</w:t>
      </w:r>
    </w:p>
    <w:p w14:paraId="216C12C9" w14:textId="77777777" w:rsidR="00C75EA5" w:rsidRDefault="00000000">
      <w:pPr>
        <w:pStyle w:val="Heading3"/>
      </w:pPr>
      <w:bookmarkStart w:id="13" w:name="data-loading-and-structural-inspection"/>
      <w:r>
        <w:t>5.1 Data Loading and Structural Inspection</w:t>
      </w:r>
    </w:p>
    <w:p w14:paraId="4A1962B7" w14:textId="77777777" w:rsidR="00C75EA5" w:rsidRDefault="00000000">
      <w:pPr>
        <w:pStyle w:val="Compact"/>
        <w:numPr>
          <w:ilvl w:val="0"/>
          <w:numId w:val="6"/>
        </w:numPr>
      </w:pPr>
      <w:r>
        <w:t xml:space="preserve">Dataset imported using </w:t>
      </w:r>
      <w:r>
        <w:rPr>
          <w:rStyle w:val="VerbatimChar"/>
        </w:rPr>
        <w:t>pandas.read_csv()</w:t>
      </w:r>
    </w:p>
    <w:p w14:paraId="4AECDB13" w14:textId="77777777" w:rsidR="00C75EA5" w:rsidRDefault="00000000">
      <w:pPr>
        <w:pStyle w:val="Compact"/>
        <w:numPr>
          <w:ilvl w:val="0"/>
          <w:numId w:val="6"/>
        </w:numPr>
      </w:pPr>
      <w:r>
        <w:t xml:space="preserve">Structural checks performed using </w:t>
      </w:r>
      <w:r>
        <w:rPr>
          <w:rStyle w:val="VerbatimChar"/>
        </w:rPr>
        <w:t>.head()</w:t>
      </w:r>
      <w:r>
        <w:t xml:space="preserve">, </w:t>
      </w:r>
      <w:r>
        <w:rPr>
          <w:rStyle w:val="VerbatimChar"/>
        </w:rPr>
        <w:t>.tail()</w:t>
      </w:r>
      <w:r>
        <w:t xml:space="preserve">, </w:t>
      </w:r>
      <w:r>
        <w:rPr>
          <w:rStyle w:val="VerbatimChar"/>
        </w:rPr>
        <w:t>.info()</w:t>
      </w:r>
      <w:r>
        <w:t xml:space="preserve">, and </w:t>
      </w:r>
      <w:r>
        <w:rPr>
          <w:rStyle w:val="VerbatimChar"/>
        </w:rPr>
        <w:t>.shape()</w:t>
      </w:r>
    </w:p>
    <w:p w14:paraId="7B9D4483" w14:textId="77777777" w:rsidR="00C75EA5" w:rsidRDefault="00000000">
      <w:pPr>
        <w:pStyle w:val="Compact"/>
        <w:numPr>
          <w:ilvl w:val="0"/>
          <w:numId w:val="6"/>
        </w:numPr>
      </w:pPr>
      <w:r>
        <w:t>Purpose: verify schema integrity, detect anomalies, and understand data scale</w:t>
      </w:r>
    </w:p>
    <w:p w14:paraId="5B5A42E9" w14:textId="77777777" w:rsidR="00C75EA5" w:rsidRDefault="00000000">
      <w:pPr>
        <w:pStyle w:val="Heading3"/>
      </w:pPr>
      <w:bookmarkStart w:id="14" w:name="data-type-standardization"/>
      <w:bookmarkEnd w:id="13"/>
      <w:r>
        <w:t>5.2 Data Type Standardization</w:t>
      </w:r>
    </w:p>
    <w:p w14:paraId="30C5BF16" w14:textId="77777777" w:rsidR="00C75EA5" w:rsidRDefault="00000000">
      <w:pPr>
        <w:pStyle w:val="Compact"/>
        <w:numPr>
          <w:ilvl w:val="0"/>
          <w:numId w:val="7"/>
        </w:numPr>
      </w:pPr>
      <w:r>
        <w:rPr>
          <w:rStyle w:val="VerbatimChar"/>
        </w:rPr>
        <w:t>TotalCharges</w:t>
      </w:r>
      <w:r>
        <w:t xml:space="preserve"> initially stored as string due to formatting issues</w:t>
      </w:r>
    </w:p>
    <w:p w14:paraId="2D406BB0" w14:textId="77777777" w:rsidR="00C75EA5" w:rsidRDefault="00000000">
      <w:pPr>
        <w:pStyle w:val="Compact"/>
        <w:numPr>
          <w:ilvl w:val="0"/>
          <w:numId w:val="7"/>
        </w:numPr>
      </w:pPr>
      <w:r>
        <w:t xml:space="preserve">Converted to numeric using </w:t>
      </w:r>
      <w:r>
        <w:rPr>
          <w:rStyle w:val="VerbatimChar"/>
        </w:rPr>
        <w:t>pd.to_numeric(errors='coerce')</w:t>
      </w:r>
    </w:p>
    <w:p w14:paraId="1B6FF75C" w14:textId="77777777" w:rsidR="00C75EA5" w:rsidRDefault="00000000">
      <w:pPr>
        <w:pStyle w:val="Compact"/>
        <w:numPr>
          <w:ilvl w:val="0"/>
          <w:numId w:val="7"/>
        </w:numPr>
      </w:pPr>
      <w:r>
        <w:t>Invalid entries deliberately converted to missing values for controlled handling</w:t>
      </w:r>
    </w:p>
    <w:p w14:paraId="317155A5" w14:textId="77777777" w:rsidR="00C75EA5" w:rsidRDefault="00000000">
      <w:pPr>
        <w:pStyle w:val="Heading3"/>
      </w:pPr>
      <w:bookmarkStart w:id="15" w:name="missing-value-treatment-business-logic"/>
      <w:bookmarkEnd w:id="14"/>
      <w:r>
        <w:t>5.3 Missing Value Treatment (Business Logic)</w:t>
      </w:r>
    </w:p>
    <w:p w14:paraId="63EF70E2" w14:textId="77777777" w:rsidR="00C75EA5" w:rsidRDefault="00000000">
      <w:pPr>
        <w:numPr>
          <w:ilvl w:val="0"/>
          <w:numId w:val="8"/>
        </w:numPr>
      </w:pPr>
      <w:r>
        <w:t xml:space="preserve">Missing values detected primarily in </w:t>
      </w:r>
      <w:r>
        <w:rPr>
          <w:rStyle w:val="VerbatimChar"/>
        </w:rPr>
        <w:t>TotalCharges</w:t>
      </w:r>
    </w:p>
    <w:p w14:paraId="73CA750D" w14:textId="77777777" w:rsidR="00C75EA5" w:rsidRDefault="00000000">
      <w:pPr>
        <w:numPr>
          <w:ilvl w:val="0"/>
          <w:numId w:val="8"/>
        </w:numPr>
      </w:pPr>
      <w:r>
        <w:t>Rather than statistical imputation, a domain-based rule was applied:</w:t>
      </w:r>
    </w:p>
    <w:p w14:paraId="38F96397" w14:textId="77777777" w:rsidR="00C75EA5" w:rsidRDefault="00000000">
      <w:pPr>
        <w:numPr>
          <w:ilvl w:val="0"/>
          <w:numId w:val="1"/>
        </w:numPr>
      </w:pPr>
      <w:r>
        <w:rPr>
          <w:b/>
          <w:bCs/>
        </w:rPr>
        <w:t>TotalCharges = tenure × MonthlyCharges</w:t>
      </w:r>
    </w:p>
    <w:p w14:paraId="526E7909" w14:textId="77777777" w:rsidR="00C75EA5" w:rsidRDefault="00000000">
      <w:pPr>
        <w:numPr>
          <w:ilvl w:val="0"/>
          <w:numId w:val="8"/>
        </w:numPr>
      </w:pPr>
      <w:r>
        <w:t>This preserves financial consistency and reflects real billing behavior</w:t>
      </w:r>
    </w:p>
    <w:p w14:paraId="73263EA9" w14:textId="77777777" w:rsidR="00C75EA5" w:rsidRDefault="00000000">
      <w:pPr>
        <w:pStyle w:val="Heading3"/>
      </w:pPr>
      <w:bookmarkStart w:id="16" w:name="duplicate-detection-and-removal"/>
      <w:bookmarkEnd w:id="15"/>
      <w:r>
        <w:t>5.4 Duplicate Detection and Removal</w:t>
      </w:r>
    </w:p>
    <w:p w14:paraId="1D3EC4EB" w14:textId="77777777" w:rsidR="00C75EA5" w:rsidRDefault="00000000">
      <w:pPr>
        <w:pStyle w:val="Compact"/>
        <w:numPr>
          <w:ilvl w:val="0"/>
          <w:numId w:val="9"/>
        </w:numPr>
      </w:pPr>
      <w:r>
        <w:t xml:space="preserve">Duplicate rows identified using </w:t>
      </w:r>
      <w:r>
        <w:rPr>
          <w:rStyle w:val="VerbatimChar"/>
        </w:rPr>
        <w:t>.duplicated()</w:t>
      </w:r>
    </w:p>
    <w:p w14:paraId="0C153807" w14:textId="77777777" w:rsidR="00C75EA5" w:rsidRDefault="00000000">
      <w:pPr>
        <w:pStyle w:val="Compact"/>
        <w:numPr>
          <w:ilvl w:val="0"/>
          <w:numId w:val="9"/>
        </w:numPr>
      </w:pPr>
      <w:r>
        <w:t>Duplicates removed to avoid analytical distortion</w:t>
      </w:r>
    </w:p>
    <w:p w14:paraId="2513110D" w14:textId="77777777" w:rsidR="00C75EA5" w:rsidRDefault="00000000">
      <w:pPr>
        <w:pStyle w:val="Heading3"/>
      </w:pPr>
      <w:bookmarkStart w:id="17" w:name="categorical-data-standardization"/>
      <w:bookmarkEnd w:id="16"/>
      <w:r>
        <w:t>5.5 Categorical Data Standardization</w:t>
      </w:r>
    </w:p>
    <w:p w14:paraId="6781F583" w14:textId="77777777" w:rsidR="00C75EA5" w:rsidRDefault="00000000">
      <w:pPr>
        <w:pStyle w:val="Compact"/>
        <w:numPr>
          <w:ilvl w:val="0"/>
          <w:numId w:val="10"/>
        </w:numPr>
      </w:pPr>
      <w:r>
        <w:t>All categorical values were normalized by:</w:t>
      </w:r>
    </w:p>
    <w:p w14:paraId="7FB4A1F7" w14:textId="77777777" w:rsidR="00C75EA5" w:rsidRDefault="00000000">
      <w:pPr>
        <w:pStyle w:val="Compact"/>
        <w:numPr>
          <w:ilvl w:val="1"/>
          <w:numId w:val="11"/>
        </w:numPr>
      </w:pPr>
      <w:r>
        <w:t>Trimming whitespace</w:t>
      </w:r>
    </w:p>
    <w:p w14:paraId="4FB678D7" w14:textId="77777777" w:rsidR="00C75EA5" w:rsidRDefault="00000000">
      <w:pPr>
        <w:pStyle w:val="Compact"/>
        <w:numPr>
          <w:ilvl w:val="1"/>
          <w:numId w:val="11"/>
        </w:numPr>
      </w:pPr>
      <w:r>
        <w:t>Converting text to lowercase</w:t>
      </w:r>
    </w:p>
    <w:p w14:paraId="2646B08A" w14:textId="77777777" w:rsidR="00C75EA5" w:rsidRDefault="00000000">
      <w:pPr>
        <w:pStyle w:val="FirstParagraph"/>
      </w:pPr>
      <w:r>
        <w:t>This step prevents artificial category inflation during encoding.</w:t>
      </w:r>
    </w:p>
    <w:p w14:paraId="00EF6F36" w14:textId="77777777" w:rsidR="00C75EA5" w:rsidRDefault="00000000">
      <w:pPr>
        <w:pStyle w:val="Heading3"/>
      </w:pPr>
      <w:bookmarkStart w:id="18" w:name="outlier-detection-and-treatment"/>
      <w:bookmarkEnd w:id="17"/>
      <w:r>
        <w:t>5.6 Outlier Detection and Treatment</w:t>
      </w:r>
    </w:p>
    <w:p w14:paraId="7C8A0C42" w14:textId="77777777" w:rsidR="00C75EA5" w:rsidRDefault="00000000">
      <w:pPr>
        <w:pStyle w:val="Compact"/>
        <w:numPr>
          <w:ilvl w:val="0"/>
          <w:numId w:val="12"/>
        </w:numPr>
      </w:pPr>
      <w:r>
        <w:t xml:space="preserve">Outliers detected using the </w:t>
      </w:r>
      <w:r>
        <w:rPr>
          <w:b/>
          <w:bCs/>
        </w:rPr>
        <w:t>Interquartile Range (IQR)</w:t>
      </w:r>
      <w:r>
        <w:t xml:space="preserve"> method</w:t>
      </w:r>
    </w:p>
    <w:p w14:paraId="57052F2C" w14:textId="77777777" w:rsidR="00C75EA5" w:rsidRDefault="00000000">
      <w:pPr>
        <w:pStyle w:val="Compact"/>
        <w:numPr>
          <w:ilvl w:val="0"/>
          <w:numId w:val="12"/>
        </w:numPr>
      </w:pPr>
      <w:r>
        <w:t xml:space="preserve">Outliers were </w:t>
      </w:r>
      <w:r>
        <w:rPr>
          <w:b/>
          <w:bCs/>
        </w:rPr>
        <w:t>capped</w:t>
      </w:r>
      <w:r>
        <w:t>, not removed:</w:t>
      </w:r>
    </w:p>
    <w:p w14:paraId="7CEF7F46" w14:textId="77777777" w:rsidR="00C75EA5" w:rsidRDefault="00000000">
      <w:pPr>
        <w:pStyle w:val="Compact"/>
        <w:numPr>
          <w:ilvl w:val="1"/>
          <w:numId w:val="13"/>
        </w:numPr>
      </w:pPr>
      <w:r>
        <w:t>Preserves extreme but valid customer behavior</w:t>
      </w:r>
    </w:p>
    <w:p w14:paraId="0AF2ADE6" w14:textId="77777777" w:rsidR="00C75EA5" w:rsidRDefault="00000000">
      <w:pPr>
        <w:pStyle w:val="Compact"/>
        <w:numPr>
          <w:ilvl w:val="1"/>
          <w:numId w:val="13"/>
        </w:numPr>
      </w:pPr>
      <w:r>
        <w:t>Stabilizes scaling and statistical tests</w:t>
      </w:r>
    </w:p>
    <w:p w14:paraId="1B0601A3" w14:textId="77777777" w:rsidR="00C75EA5" w:rsidRDefault="00000000">
      <w:pPr>
        <w:pStyle w:val="Heading3"/>
      </w:pPr>
      <w:bookmarkStart w:id="19" w:name="final-dataset-preparation"/>
      <w:bookmarkEnd w:id="18"/>
      <w:r>
        <w:t>5.7 Final Dataset Preparation</w:t>
      </w:r>
    </w:p>
    <w:p w14:paraId="50797CB7" w14:textId="77777777" w:rsidR="00C75EA5" w:rsidRDefault="00000000">
      <w:pPr>
        <w:pStyle w:val="Compact"/>
        <w:numPr>
          <w:ilvl w:val="0"/>
          <w:numId w:val="14"/>
        </w:numPr>
      </w:pPr>
      <w:r>
        <w:t xml:space="preserve">Removed </w:t>
      </w:r>
      <w:r>
        <w:rPr>
          <w:rStyle w:val="VerbatimChar"/>
        </w:rPr>
        <w:t>customerID</w:t>
      </w:r>
      <w:r>
        <w:t xml:space="preserve"> (identifier only)</w:t>
      </w:r>
    </w:p>
    <w:p w14:paraId="5FB262A7" w14:textId="77777777" w:rsidR="00C75EA5" w:rsidRDefault="00000000">
      <w:pPr>
        <w:pStyle w:val="Compact"/>
        <w:numPr>
          <w:ilvl w:val="0"/>
          <w:numId w:val="14"/>
        </w:numPr>
      </w:pPr>
      <w:r>
        <w:lastRenderedPageBreak/>
        <w:t xml:space="preserve">Converted </w:t>
      </w:r>
      <w:r>
        <w:rPr>
          <w:rStyle w:val="VerbatimChar"/>
        </w:rPr>
        <w:t>SeniorCitizen</w:t>
      </w:r>
      <w:r>
        <w:t xml:space="preserve"> to categorical</w:t>
      </w:r>
    </w:p>
    <w:p w14:paraId="597F8944" w14:textId="77777777" w:rsidR="00C75EA5" w:rsidRDefault="00000000">
      <w:pPr>
        <w:pStyle w:val="Compact"/>
        <w:numPr>
          <w:ilvl w:val="0"/>
          <w:numId w:val="14"/>
        </w:numPr>
      </w:pPr>
      <w:r>
        <w:t xml:space="preserve">Encoded </w:t>
      </w:r>
      <w:r>
        <w:rPr>
          <w:rStyle w:val="VerbatimChar"/>
        </w:rPr>
        <w:t>Churn</w:t>
      </w:r>
      <w:r>
        <w:t xml:space="preserve"> as binary</w:t>
      </w:r>
    </w:p>
    <w:p w14:paraId="0CC1E56D" w14:textId="77777777" w:rsidR="00C75EA5" w:rsidRDefault="00000000">
      <w:pPr>
        <w:pStyle w:val="Compact"/>
        <w:numPr>
          <w:ilvl w:val="0"/>
          <w:numId w:val="14"/>
        </w:numPr>
      </w:pPr>
      <w:r>
        <w:t>Reset index to ensure clean structure</w:t>
      </w:r>
    </w:p>
    <w:p w14:paraId="058B3369" w14:textId="77777777" w:rsidR="00C75EA5" w:rsidRDefault="00000000">
      <w:pPr>
        <w:pStyle w:val="Heading3"/>
      </w:pPr>
      <w:bookmarkStart w:id="20" w:name="data-quality-validation"/>
      <w:bookmarkEnd w:id="19"/>
      <w:r>
        <w:t>5.8 Data Quality Validation</w:t>
      </w:r>
    </w:p>
    <w:p w14:paraId="483FE816" w14:textId="77777777" w:rsidR="00C75EA5" w:rsidRDefault="00000000">
      <w:pPr>
        <w:pStyle w:val="Compact"/>
        <w:numPr>
          <w:ilvl w:val="0"/>
          <w:numId w:val="15"/>
        </w:numPr>
      </w:pPr>
      <w:r>
        <w:t>No remaining missing values</w:t>
      </w:r>
    </w:p>
    <w:p w14:paraId="56B75C86" w14:textId="77777777" w:rsidR="00C75EA5" w:rsidRDefault="00000000">
      <w:pPr>
        <w:pStyle w:val="Compact"/>
        <w:numPr>
          <w:ilvl w:val="0"/>
          <w:numId w:val="15"/>
        </w:numPr>
      </w:pPr>
      <w:r>
        <w:t>No duplicate records</w:t>
      </w:r>
    </w:p>
    <w:p w14:paraId="536553ED" w14:textId="77777777" w:rsidR="00C75EA5" w:rsidRDefault="00000000">
      <w:pPr>
        <w:pStyle w:val="Compact"/>
        <w:numPr>
          <w:ilvl w:val="0"/>
          <w:numId w:val="15"/>
        </w:numPr>
      </w:pPr>
      <w:r>
        <w:t xml:space="preserve">Clean dataset exported as </w:t>
      </w:r>
      <w:r>
        <w:rPr>
          <w:rStyle w:val="VerbatimChar"/>
        </w:rPr>
        <w:t>cleaned_telco_churn.csv</w:t>
      </w:r>
    </w:p>
    <w:p w14:paraId="71517D5E" w14:textId="77777777" w:rsidR="00C75EA5" w:rsidRDefault="00000000">
      <w:r>
        <w:pict w14:anchorId="48C3ABAE">
          <v:rect id="_x0000_i1485" style="width:0;height:1.5pt" o:hralign="center" o:hrstd="t" o:hr="t"/>
        </w:pict>
      </w:r>
    </w:p>
    <w:p w14:paraId="5E4369EB" w14:textId="77777777" w:rsidR="00C75EA5" w:rsidRDefault="00000000">
      <w:pPr>
        <w:pStyle w:val="Heading2"/>
      </w:pPr>
      <w:bookmarkStart w:id="21" w:name="exploratory-data-analysis-eda"/>
      <w:bookmarkEnd w:id="12"/>
      <w:bookmarkEnd w:id="20"/>
      <w:r>
        <w:t>6. Exploratory Data Analysis (EDA)</w:t>
      </w:r>
    </w:p>
    <w:p w14:paraId="5B43566E" w14:textId="77777777" w:rsidR="00C75EA5" w:rsidRDefault="00000000">
      <w:pPr>
        <w:pStyle w:val="FirstParagraph"/>
      </w:pPr>
      <w:r>
        <w:t>EDA was conducted to uncover behavioral patterns, detect churn risk signals, and guide feature engineering.</w:t>
      </w:r>
    </w:p>
    <w:p w14:paraId="41578FAE" w14:textId="77777777" w:rsidR="00C75EA5" w:rsidRDefault="00000000">
      <w:pPr>
        <w:pStyle w:val="Heading3"/>
      </w:pPr>
      <w:bookmarkStart w:id="22" w:name="univariate-analysis"/>
      <w:r>
        <w:t>6.1 Univariate Analysis</w:t>
      </w:r>
    </w:p>
    <w:p w14:paraId="572FD842" w14:textId="77777777" w:rsidR="00C75EA5" w:rsidRDefault="00000000">
      <w:pPr>
        <w:pStyle w:val="Compact"/>
        <w:numPr>
          <w:ilvl w:val="0"/>
          <w:numId w:val="16"/>
        </w:numPr>
      </w:pPr>
      <w:r>
        <w:t>Tenure distribution reveals strong early-life churn concentration</w:t>
      </w:r>
    </w:p>
    <w:p w14:paraId="618831D8" w14:textId="77777777" w:rsidR="00C75EA5" w:rsidRDefault="00000000">
      <w:pPr>
        <w:pStyle w:val="Compact"/>
        <w:numPr>
          <w:ilvl w:val="0"/>
          <w:numId w:val="16"/>
        </w:numPr>
      </w:pPr>
      <w:r>
        <w:t>MonthlyCharges show right-skewed distribution with higher churn exposure at upper ranges</w:t>
      </w:r>
    </w:p>
    <w:p w14:paraId="40ED0B74" w14:textId="77777777" w:rsidR="00C75EA5" w:rsidRDefault="00000000">
      <w:pPr>
        <w:pStyle w:val="Heading3"/>
      </w:pPr>
      <w:bookmarkStart w:id="23" w:name="bivariate-multivariate-analysis"/>
      <w:bookmarkEnd w:id="22"/>
      <w:r>
        <w:t>6.2 Bivariate &amp; Multivariate Analysis</w:t>
      </w:r>
    </w:p>
    <w:p w14:paraId="60DD2EC4" w14:textId="77777777" w:rsidR="00C75EA5" w:rsidRDefault="00000000">
      <w:pPr>
        <w:pStyle w:val="Compact"/>
        <w:numPr>
          <w:ilvl w:val="0"/>
          <w:numId w:val="17"/>
        </w:numPr>
      </w:pPr>
      <w:r>
        <w:t>Month-to-month contracts exhibit significantly higher churn</w:t>
      </w:r>
    </w:p>
    <w:p w14:paraId="2057F5F0" w14:textId="77777777" w:rsidR="00C75EA5" w:rsidRDefault="00000000">
      <w:pPr>
        <w:pStyle w:val="Compact"/>
        <w:numPr>
          <w:ilvl w:val="0"/>
          <w:numId w:val="17"/>
        </w:numPr>
      </w:pPr>
      <w:r>
        <w:t>Higher MonthlyCharges combined with short tenure increase churn likelihood</w:t>
      </w:r>
    </w:p>
    <w:p w14:paraId="6982BEC5" w14:textId="77777777" w:rsidR="00C75EA5" w:rsidRDefault="00000000">
      <w:pPr>
        <w:pStyle w:val="Compact"/>
        <w:numPr>
          <w:ilvl w:val="0"/>
          <w:numId w:val="17"/>
        </w:numPr>
      </w:pPr>
      <w:r>
        <w:t>Payment method and billing preferences show measurable churn differences</w:t>
      </w:r>
    </w:p>
    <w:p w14:paraId="57DD6973" w14:textId="77777777" w:rsidR="00C75EA5" w:rsidRDefault="00000000">
      <w:pPr>
        <w:pStyle w:val="Heading3"/>
      </w:pPr>
      <w:bookmarkStart w:id="24" w:name="key-eda-insights"/>
      <w:bookmarkEnd w:id="23"/>
      <w:r>
        <w:t>6.3 Key EDA Insights</w:t>
      </w:r>
    </w:p>
    <w:p w14:paraId="64235178" w14:textId="77777777" w:rsidR="00C75EA5" w:rsidRDefault="00000000">
      <w:pPr>
        <w:pStyle w:val="Compact"/>
        <w:numPr>
          <w:ilvl w:val="0"/>
          <w:numId w:val="18"/>
        </w:numPr>
      </w:pPr>
      <w:r>
        <w:t>The first 6–12 months represent the highest churn risk window</w:t>
      </w:r>
    </w:p>
    <w:p w14:paraId="39F949A0" w14:textId="77777777" w:rsidR="00C75EA5" w:rsidRDefault="00000000">
      <w:pPr>
        <w:pStyle w:val="Compact"/>
        <w:numPr>
          <w:ilvl w:val="0"/>
          <w:numId w:val="18"/>
        </w:numPr>
      </w:pPr>
      <w:r>
        <w:t>Pricing sensitivity plays a major role in churn decisions</w:t>
      </w:r>
    </w:p>
    <w:p w14:paraId="2B8A6195" w14:textId="77777777" w:rsidR="00C75EA5" w:rsidRDefault="00000000">
      <w:pPr>
        <w:pStyle w:val="Compact"/>
        <w:numPr>
          <w:ilvl w:val="0"/>
          <w:numId w:val="18"/>
        </w:numPr>
      </w:pPr>
      <w:r>
        <w:t>Contract length is a strong proxy for customer commitment</w:t>
      </w:r>
    </w:p>
    <w:p w14:paraId="76CE5E87" w14:textId="77777777" w:rsidR="00C75EA5" w:rsidRDefault="00000000">
      <w:pPr>
        <w:pStyle w:val="FirstParagraph"/>
      </w:pPr>
      <w:r>
        <w:t>These findings directly motivated the subsequent feature engineering phase.</w:t>
      </w:r>
    </w:p>
    <w:p w14:paraId="660D533B" w14:textId="77777777" w:rsidR="00C75EA5" w:rsidRDefault="00000000">
      <w:r>
        <w:pict w14:anchorId="159E1246">
          <v:rect id="_x0000_i1486" style="width:0;height:1.5pt" o:hralign="center" o:hrstd="t" o:hr="t"/>
        </w:pict>
      </w:r>
    </w:p>
    <w:p w14:paraId="283EF7BF" w14:textId="77777777" w:rsidR="00C75EA5" w:rsidRDefault="00000000">
      <w:pPr>
        <w:pStyle w:val="Heading2"/>
      </w:pPr>
      <w:bookmarkStart w:id="25" w:name="feature-engineering-feature-selection"/>
      <w:bookmarkEnd w:id="21"/>
      <w:bookmarkEnd w:id="24"/>
      <w:r>
        <w:t>7. Feature Engineering &amp; Feature Selection</w:t>
      </w:r>
    </w:p>
    <w:p w14:paraId="12B310CA" w14:textId="77777777" w:rsidR="00C75EA5" w:rsidRDefault="00000000">
      <w:pPr>
        <w:pStyle w:val="Heading3"/>
      </w:pPr>
      <w:bookmarkStart w:id="26" w:name="feature-engineering-strategy"/>
      <w:r>
        <w:t>7.1 Feature Engineering Strategy</w:t>
      </w:r>
    </w:p>
    <w:p w14:paraId="7A97C3E9" w14:textId="77777777" w:rsidR="00C75EA5" w:rsidRDefault="00000000">
      <w:pPr>
        <w:pStyle w:val="FirstParagraph"/>
      </w:pPr>
      <w:r>
        <w:t>Features were engineered to represent latent customer behaviors:</w:t>
      </w:r>
    </w:p>
    <w:p w14:paraId="2B43BA21" w14:textId="77777777" w:rsidR="00C75EA5" w:rsidRDefault="00000000">
      <w:pPr>
        <w:pStyle w:val="Compact"/>
        <w:numPr>
          <w:ilvl w:val="0"/>
          <w:numId w:val="19"/>
        </w:numPr>
      </w:pPr>
      <w:r>
        <w:rPr>
          <w:b/>
          <w:bCs/>
        </w:rPr>
        <w:t>TenureGroup:</w:t>
      </w:r>
      <w:r>
        <w:t xml:space="preserve"> Customer lifecycle segmentation</w:t>
      </w:r>
    </w:p>
    <w:p w14:paraId="604860D3" w14:textId="77777777" w:rsidR="00C75EA5" w:rsidRDefault="00000000">
      <w:pPr>
        <w:pStyle w:val="Compact"/>
        <w:numPr>
          <w:ilvl w:val="0"/>
          <w:numId w:val="19"/>
        </w:numPr>
      </w:pPr>
      <w:r>
        <w:rPr>
          <w:b/>
          <w:bCs/>
        </w:rPr>
        <w:t>AvgMonthlySpend:</w:t>
      </w:r>
      <w:r>
        <w:t xml:space="preserve"> Normalized spending intensity</w:t>
      </w:r>
    </w:p>
    <w:p w14:paraId="53B75A83" w14:textId="77777777" w:rsidR="00C75EA5" w:rsidRDefault="00000000">
      <w:pPr>
        <w:pStyle w:val="Compact"/>
        <w:numPr>
          <w:ilvl w:val="0"/>
          <w:numId w:val="19"/>
        </w:numPr>
      </w:pPr>
      <w:r>
        <w:rPr>
          <w:b/>
          <w:bCs/>
        </w:rPr>
        <w:t>IsLongContract:</w:t>
      </w:r>
      <w:r>
        <w:t xml:space="preserve"> Long-term commitment indicator</w:t>
      </w:r>
    </w:p>
    <w:p w14:paraId="3C1847F4" w14:textId="77777777" w:rsidR="00C75EA5" w:rsidRDefault="00000000">
      <w:pPr>
        <w:pStyle w:val="Compact"/>
        <w:numPr>
          <w:ilvl w:val="0"/>
          <w:numId w:val="19"/>
        </w:numPr>
      </w:pPr>
      <w:r>
        <w:rPr>
          <w:b/>
          <w:bCs/>
        </w:rPr>
        <w:lastRenderedPageBreak/>
        <w:t>PaperlessAndElectronic:</w:t>
      </w:r>
      <w:r>
        <w:t xml:space="preserve"> Digital engagement behavior</w:t>
      </w:r>
    </w:p>
    <w:p w14:paraId="0A8D38DB" w14:textId="77777777" w:rsidR="00C75EA5" w:rsidRDefault="00000000">
      <w:pPr>
        <w:pStyle w:val="Compact"/>
        <w:numPr>
          <w:ilvl w:val="0"/>
          <w:numId w:val="19"/>
        </w:numPr>
      </w:pPr>
      <w:r>
        <w:rPr>
          <w:b/>
          <w:bCs/>
        </w:rPr>
        <w:t>HasTechSupportOrSecurity:</w:t>
      </w:r>
      <w:r>
        <w:t xml:space="preserve"> Dependency on support services</w:t>
      </w:r>
    </w:p>
    <w:p w14:paraId="66CADB89" w14:textId="77777777" w:rsidR="00C75EA5" w:rsidRDefault="00000000">
      <w:pPr>
        <w:pStyle w:val="Compact"/>
        <w:numPr>
          <w:ilvl w:val="0"/>
          <w:numId w:val="19"/>
        </w:numPr>
      </w:pPr>
      <w:r>
        <w:rPr>
          <w:b/>
          <w:bCs/>
        </w:rPr>
        <w:t>ServiceCount:</w:t>
      </w:r>
      <w:r>
        <w:t xml:space="preserve"> Service bundle depth</w:t>
      </w:r>
    </w:p>
    <w:p w14:paraId="0F54F688" w14:textId="77777777" w:rsidR="00C75EA5" w:rsidRDefault="00000000">
      <w:pPr>
        <w:pStyle w:val="FirstParagraph"/>
      </w:pPr>
      <w:r>
        <w:t>Each engineered feature has a clear business interpretation and modeling purpose.</w:t>
      </w:r>
    </w:p>
    <w:p w14:paraId="49827820" w14:textId="77777777" w:rsidR="00C75EA5" w:rsidRDefault="00000000">
      <w:pPr>
        <w:pStyle w:val="Heading3"/>
      </w:pPr>
      <w:bookmarkStart w:id="27" w:name="train-test-split-and-leakage-prevention"/>
      <w:bookmarkEnd w:id="26"/>
      <w:r>
        <w:t>7.2 Train-Test Split and Leakage Prevention</w:t>
      </w:r>
    </w:p>
    <w:p w14:paraId="2D4750B9" w14:textId="77777777" w:rsidR="00C75EA5" w:rsidRDefault="00000000">
      <w:pPr>
        <w:pStyle w:val="Compact"/>
        <w:numPr>
          <w:ilvl w:val="0"/>
          <w:numId w:val="20"/>
        </w:numPr>
      </w:pPr>
      <w:r>
        <w:t>Data split performed prior to encoding and scaling</w:t>
      </w:r>
    </w:p>
    <w:p w14:paraId="23F08EAB" w14:textId="77777777" w:rsidR="00C75EA5" w:rsidRDefault="00000000">
      <w:pPr>
        <w:pStyle w:val="Compact"/>
        <w:numPr>
          <w:ilvl w:val="0"/>
          <w:numId w:val="20"/>
        </w:numPr>
      </w:pPr>
      <w:r>
        <w:t>Stratified sampling ensured churn class balance</w:t>
      </w:r>
    </w:p>
    <w:p w14:paraId="5E9DF835" w14:textId="77777777" w:rsidR="00C75EA5" w:rsidRDefault="00000000">
      <w:pPr>
        <w:pStyle w:val="Compact"/>
        <w:numPr>
          <w:ilvl w:val="0"/>
          <w:numId w:val="20"/>
        </w:numPr>
      </w:pPr>
      <w:r>
        <w:t>Prevented information leakage</w:t>
      </w:r>
    </w:p>
    <w:p w14:paraId="6D47EB08" w14:textId="77777777" w:rsidR="00C75EA5" w:rsidRDefault="00000000">
      <w:pPr>
        <w:pStyle w:val="Heading3"/>
      </w:pPr>
      <w:bookmarkStart w:id="28" w:name="preprocessing-pipelines"/>
      <w:bookmarkEnd w:id="27"/>
      <w:r>
        <w:t>7.3 Preprocessing Pipelines</w:t>
      </w:r>
    </w:p>
    <w:p w14:paraId="7B1093AE" w14:textId="77777777" w:rsidR="00C75EA5" w:rsidRDefault="00000000">
      <w:pPr>
        <w:pStyle w:val="FirstParagraph"/>
      </w:pPr>
      <w:r>
        <w:t>Two pipelines were implemented to support different analytical needs:</w:t>
      </w:r>
    </w:p>
    <w:p w14:paraId="45FE6B21" w14:textId="77777777" w:rsidR="00C75EA5" w:rsidRDefault="00000000">
      <w:pPr>
        <w:pStyle w:val="Compact"/>
        <w:numPr>
          <w:ilvl w:val="0"/>
          <w:numId w:val="21"/>
        </w:numPr>
      </w:pPr>
      <w:r>
        <w:rPr>
          <w:b/>
          <w:bCs/>
        </w:rPr>
        <w:t>StandardScaler Pipeline:</w:t>
      </w:r>
      <w:r>
        <w:t xml:space="preserve"> Logistic Regression, RFE, L1 regularization</w:t>
      </w:r>
    </w:p>
    <w:p w14:paraId="4C60A0A3" w14:textId="77777777" w:rsidR="00C75EA5" w:rsidRDefault="00000000">
      <w:pPr>
        <w:pStyle w:val="Compact"/>
        <w:numPr>
          <w:ilvl w:val="0"/>
          <w:numId w:val="21"/>
        </w:numPr>
      </w:pPr>
      <w:r>
        <w:rPr>
          <w:b/>
          <w:bCs/>
        </w:rPr>
        <w:t>MinMaxScaler Pipeline:</w:t>
      </w:r>
      <w:r>
        <w:t xml:space="preserve"> Chi-Square feature selection (non-negative constraint)</w:t>
      </w:r>
    </w:p>
    <w:p w14:paraId="31FF6A47" w14:textId="77777777" w:rsidR="00C75EA5" w:rsidRDefault="00000000">
      <w:pPr>
        <w:pStyle w:val="FirstParagraph"/>
      </w:pPr>
      <w:r>
        <w:t>Both pipelines include imputation and one-hot encoding.</w:t>
      </w:r>
    </w:p>
    <w:p w14:paraId="2E9CF033" w14:textId="77777777" w:rsidR="00C75EA5" w:rsidRDefault="00000000">
      <w:pPr>
        <w:pStyle w:val="Heading3"/>
      </w:pPr>
      <w:bookmarkStart w:id="29" w:name="feature-selection-techniques"/>
      <w:bookmarkEnd w:id="28"/>
      <w:r>
        <w:t>7.4 Feature Selection Techniques</w:t>
      </w:r>
    </w:p>
    <w:p w14:paraId="55B7962A" w14:textId="77777777" w:rsidR="00C75EA5" w:rsidRDefault="00000000">
      <w:pPr>
        <w:pStyle w:val="FirstParagraph"/>
      </w:pPr>
      <w:r>
        <w:rPr>
          <w:b/>
          <w:bCs/>
        </w:rPr>
        <w:t>Filter Methods:</w:t>
      </w:r>
      <w:r>
        <w:t xml:space="preserve"> - Correlation analysis (numeric features) - Chi-Square test (categorical features)</w:t>
      </w:r>
    </w:p>
    <w:p w14:paraId="7F08A797" w14:textId="77777777" w:rsidR="00C75EA5" w:rsidRDefault="00000000">
      <w:pPr>
        <w:pStyle w:val="BodyText"/>
      </w:pPr>
      <w:r>
        <w:rPr>
          <w:b/>
          <w:bCs/>
        </w:rPr>
        <w:t>Wrapper Method:</w:t>
      </w:r>
      <w:r>
        <w:t xml:space="preserve"> - Recursive Feature Elimination (RFE) with Logistic Regression</w:t>
      </w:r>
    </w:p>
    <w:p w14:paraId="0A123FFF" w14:textId="77777777" w:rsidR="00C75EA5" w:rsidRDefault="00000000">
      <w:pPr>
        <w:pStyle w:val="BodyText"/>
      </w:pPr>
      <w:r>
        <w:rPr>
          <w:b/>
          <w:bCs/>
        </w:rPr>
        <w:t>Embedded Method:</w:t>
      </w:r>
      <w:r>
        <w:t xml:space="preserve"> - L1-regularized Logistic Regression</w:t>
      </w:r>
    </w:p>
    <w:p w14:paraId="792DE217" w14:textId="77777777" w:rsidR="00C75EA5" w:rsidRDefault="00000000">
      <w:pPr>
        <w:pStyle w:val="Heading3"/>
      </w:pPr>
      <w:bookmarkStart w:id="30" w:name="final-feature-selection-logic"/>
      <w:bookmarkEnd w:id="29"/>
      <w:r>
        <w:t>7.5 Final Feature Selection Logic</w:t>
      </w:r>
    </w:p>
    <w:p w14:paraId="70477EFE" w14:textId="77777777" w:rsidR="00C75EA5" w:rsidRDefault="00000000">
      <w:pPr>
        <w:pStyle w:val="Compact"/>
        <w:numPr>
          <w:ilvl w:val="0"/>
          <w:numId w:val="22"/>
        </w:numPr>
      </w:pPr>
      <w:r>
        <w:t xml:space="preserve">Features selected by </w:t>
      </w:r>
      <w:r>
        <w:rPr>
          <w:b/>
          <w:bCs/>
        </w:rPr>
        <w:t>multiple independent methods</w:t>
      </w:r>
      <w:r>
        <w:t xml:space="preserve"> were prioritized</w:t>
      </w:r>
    </w:p>
    <w:p w14:paraId="01DFD32F" w14:textId="77777777" w:rsidR="00C75EA5" w:rsidRDefault="00000000">
      <w:pPr>
        <w:pStyle w:val="Compact"/>
        <w:numPr>
          <w:ilvl w:val="0"/>
          <w:numId w:val="22"/>
        </w:numPr>
      </w:pPr>
      <w:r>
        <w:t>This consensus-based approach increases robustness and interpretability</w:t>
      </w:r>
    </w:p>
    <w:p w14:paraId="02B55DC3" w14:textId="77777777" w:rsidR="00C75EA5" w:rsidRDefault="00000000">
      <w:r>
        <w:pict w14:anchorId="6C2FB5A8">
          <v:rect id="_x0000_i1487" style="width:0;height:1.5pt" o:hralign="center" o:hrstd="t" o:hr="t"/>
        </w:pict>
      </w:r>
    </w:p>
    <w:p w14:paraId="02DAB15A" w14:textId="77777777" w:rsidR="00C75EA5" w:rsidRDefault="00000000">
      <w:pPr>
        <w:pStyle w:val="Heading2"/>
      </w:pPr>
      <w:bookmarkStart w:id="31" w:name="probability-analysis-hypothesis-testing"/>
      <w:bookmarkEnd w:id="25"/>
      <w:bookmarkEnd w:id="30"/>
      <w:r>
        <w:t>8. Probability Analysis &amp; Hypothesis Testing</w:t>
      </w:r>
    </w:p>
    <w:p w14:paraId="1AD273F4" w14:textId="77777777" w:rsidR="00C75EA5" w:rsidRDefault="00000000">
      <w:pPr>
        <w:pStyle w:val="Heading3"/>
      </w:pPr>
      <w:bookmarkStart w:id="32" w:name="probability-modeling"/>
      <w:r>
        <w:t>8.1 Probability Modeling</w:t>
      </w:r>
    </w:p>
    <w:p w14:paraId="16B71494" w14:textId="77777777" w:rsidR="00C75EA5" w:rsidRDefault="00000000">
      <w:pPr>
        <w:pStyle w:val="Compact"/>
        <w:numPr>
          <w:ilvl w:val="0"/>
          <w:numId w:val="23"/>
        </w:numPr>
      </w:pPr>
      <w:r>
        <w:t>MonthlyCharges modeled using a normal distribution</w:t>
      </w:r>
    </w:p>
    <w:p w14:paraId="089D2043" w14:textId="77777777" w:rsidR="00C75EA5" w:rsidRDefault="00000000">
      <w:pPr>
        <w:pStyle w:val="Compact"/>
        <w:numPr>
          <w:ilvl w:val="0"/>
          <w:numId w:val="23"/>
        </w:numPr>
      </w:pPr>
      <w:r>
        <w:t>Probability of charges exceeding defined thresholds calculated</w:t>
      </w:r>
    </w:p>
    <w:p w14:paraId="0EEB65CC" w14:textId="77777777" w:rsidR="00C75EA5" w:rsidRDefault="00000000">
      <w:pPr>
        <w:pStyle w:val="Heading3"/>
      </w:pPr>
      <w:bookmarkStart w:id="33" w:name="statistical-hypothesis-tests"/>
      <w:bookmarkEnd w:id="32"/>
      <w:r>
        <w:t>8.2 Statistical Hypothesis Tests</w:t>
      </w:r>
    </w:p>
    <w:tbl>
      <w:tblPr>
        <w:tblStyle w:val="Table"/>
        <w:tblW w:w="0" w:type="auto"/>
        <w:tblLook w:val="0020" w:firstRow="1" w:lastRow="0" w:firstColumn="0" w:lastColumn="0" w:noHBand="0" w:noVBand="0"/>
      </w:tblPr>
      <w:tblGrid>
        <w:gridCol w:w="1393"/>
        <w:gridCol w:w="3160"/>
        <w:gridCol w:w="2571"/>
      </w:tblGrid>
      <w:tr w:rsidR="00C75EA5" w14:paraId="7DC6060F" w14:textId="77777777" w:rsidTr="00C75EA5">
        <w:trPr>
          <w:cnfStyle w:val="100000000000" w:firstRow="1" w:lastRow="0" w:firstColumn="0" w:lastColumn="0" w:oddVBand="0" w:evenVBand="0" w:oddHBand="0" w:evenHBand="0" w:firstRowFirstColumn="0" w:firstRowLastColumn="0" w:lastRowFirstColumn="0" w:lastRowLastColumn="0"/>
          <w:tblHeader/>
        </w:trPr>
        <w:tc>
          <w:tcPr>
            <w:tcW w:w="0" w:type="auto"/>
          </w:tcPr>
          <w:p w14:paraId="77AD0ED2" w14:textId="77777777" w:rsidR="00C75EA5" w:rsidRDefault="00000000">
            <w:pPr>
              <w:pStyle w:val="Compact"/>
            </w:pPr>
            <w:r>
              <w:t>Test</w:t>
            </w:r>
          </w:p>
        </w:tc>
        <w:tc>
          <w:tcPr>
            <w:tcW w:w="0" w:type="auto"/>
          </w:tcPr>
          <w:p w14:paraId="451E9054" w14:textId="77777777" w:rsidR="00C75EA5" w:rsidRDefault="00000000">
            <w:pPr>
              <w:pStyle w:val="Compact"/>
            </w:pPr>
            <w:r>
              <w:t>Relationship Tested</w:t>
            </w:r>
          </w:p>
        </w:tc>
        <w:tc>
          <w:tcPr>
            <w:tcW w:w="0" w:type="auto"/>
          </w:tcPr>
          <w:p w14:paraId="4093B651" w14:textId="77777777" w:rsidR="00C75EA5" w:rsidRDefault="00000000">
            <w:pPr>
              <w:pStyle w:val="Compact"/>
            </w:pPr>
            <w:r>
              <w:t>Result</w:t>
            </w:r>
          </w:p>
        </w:tc>
      </w:tr>
      <w:tr w:rsidR="00C75EA5" w14:paraId="090141AF" w14:textId="77777777">
        <w:tc>
          <w:tcPr>
            <w:tcW w:w="0" w:type="auto"/>
          </w:tcPr>
          <w:p w14:paraId="30E355FA" w14:textId="77777777" w:rsidR="00C75EA5" w:rsidRDefault="00000000">
            <w:pPr>
              <w:pStyle w:val="Compact"/>
            </w:pPr>
            <w:r>
              <w:t>t-test</w:t>
            </w:r>
          </w:p>
        </w:tc>
        <w:tc>
          <w:tcPr>
            <w:tcW w:w="0" w:type="auto"/>
          </w:tcPr>
          <w:p w14:paraId="1C661A49" w14:textId="77777777" w:rsidR="00C75EA5" w:rsidRDefault="00000000">
            <w:pPr>
              <w:pStyle w:val="Compact"/>
            </w:pPr>
            <w:r>
              <w:t>MonthlyCharges vs Churn</w:t>
            </w:r>
          </w:p>
        </w:tc>
        <w:tc>
          <w:tcPr>
            <w:tcW w:w="0" w:type="auto"/>
          </w:tcPr>
          <w:p w14:paraId="140B1A6B" w14:textId="77777777" w:rsidR="00C75EA5" w:rsidRDefault="00000000">
            <w:pPr>
              <w:pStyle w:val="Compact"/>
            </w:pPr>
            <w:r>
              <w:t>Statistically Significant</w:t>
            </w:r>
          </w:p>
        </w:tc>
      </w:tr>
      <w:tr w:rsidR="00C75EA5" w14:paraId="71AA018E" w14:textId="77777777">
        <w:tc>
          <w:tcPr>
            <w:tcW w:w="0" w:type="auto"/>
          </w:tcPr>
          <w:p w14:paraId="10417CA4" w14:textId="77777777" w:rsidR="00C75EA5" w:rsidRDefault="00000000">
            <w:pPr>
              <w:pStyle w:val="Compact"/>
            </w:pPr>
            <w:r>
              <w:t>Chi-Square</w:t>
            </w:r>
          </w:p>
        </w:tc>
        <w:tc>
          <w:tcPr>
            <w:tcW w:w="0" w:type="auto"/>
          </w:tcPr>
          <w:p w14:paraId="3B575D8B" w14:textId="77777777" w:rsidR="00C75EA5" w:rsidRDefault="00000000">
            <w:pPr>
              <w:pStyle w:val="Compact"/>
            </w:pPr>
            <w:r>
              <w:t>PaymentMethod vs Churn</w:t>
            </w:r>
          </w:p>
        </w:tc>
        <w:tc>
          <w:tcPr>
            <w:tcW w:w="0" w:type="auto"/>
          </w:tcPr>
          <w:p w14:paraId="21AC7FA8" w14:textId="77777777" w:rsidR="00C75EA5" w:rsidRDefault="00000000">
            <w:pPr>
              <w:pStyle w:val="Compact"/>
            </w:pPr>
            <w:r>
              <w:t>Statistically Significant</w:t>
            </w:r>
          </w:p>
        </w:tc>
      </w:tr>
      <w:tr w:rsidR="00C75EA5" w14:paraId="08749A3E" w14:textId="77777777">
        <w:tc>
          <w:tcPr>
            <w:tcW w:w="0" w:type="auto"/>
          </w:tcPr>
          <w:p w14:paraId="220AA743" w14:textId="77777777" w:rsidR="00C75EA5" w:rsidRDefault="00000000">
            <w:pPr>
              <w:pStyle w:val="Compact"/>
            </w:pPr>
            <w:r>
              <w:lastRenderedPageBreak/>
              <w:t>ANOVA</w:t>
            </w:r>
          </w:p>
        </w:tc>
        <w:tc>
          <w:tcPr>
            <w:tcW w:w="0" w:type="auto"/>
          </w:tcPr>
          <w:p w14:paraId="0DBF86CA" w14:textId="77777777" w:rsidR="00C75EA5" w:rsidRDefault="00000000">
            <w:pPr>
              <w:pStyle w:val="Compact"/>
            </w:pPr>
            <w:r>
              <w:t>Contract vs MonthlyCharges</w:t>
            </w:r>
          </w:p>
        </w:tc>
        <w:tc>
          <w:tcPr>
            <w:tcW w:w="0" w:type="auto"/>
          </w:tcPr>
          <w:p w14:paraId="07A2B7DF" w14:textId="77777777" w:rsidR="00C75EA5" w:rsidRDefault="00000000">
            <w:pPr>
              <w:pStyle w:val="Compact"/>
            </w:pPr>
            <w:r>
              <w:t>Statistically Significant</w:t>
            </w:r>
          </w:p>
        </w:tc>
      </w:tr>
      <w:tr w:rsidR="00C75EA5" w14:paraId="59B2324F" w14:textId="77777777">
        <w:tc>
          <w:tcPr>
            <w:tcW w:w="0" w:type="auto"/>
          </w:tcPr>
          <w:p w14:paraId="7C4DE0C9" w14:textId="77777777" w:rsidR="00C75EA5" w:rsidRDefault="00000000">
            <w:pPr>
              <w:pStyle w:val="Compact"/>
            </w:pPr>
            <w:r>
              <w:t>Correlation</w:t>
            </w:r>
          </w:p>
        </w:tc>
        <w:tc>
          <w:tcPr>
            <w:tcW w:w="0" w:type="auto"/>
          </w:tcPr>
          <w:p w14:paraId="52B57BED" w14:textId="77777777" w:rsidR="00C75EA5" w:rsidRDefault="00000000">
            <w:pPr>
              <w:pStyle w:val="Compact"/>
            </w:pPr>
            <w:r>
              <w:t>Tenure vs Churn</w:t>
            </w:r>
          </w:p>
        </w:tc>
        <w:tc>
          <w:tcPr>
            <w:tcW w:w="0" w:type="auto"/>
          </w:tcPr>
          <w:p w14:paraId="17600526" w14:textId="77777777" w:rsidR="00C75EA5" w:rsidRDefault="00000000">
            <w:pPr>
              <w:pStyle w:val="Compact"/>
            </w:pPr>
            <w:r>
              <w:t>Statistically Significant</w:t>
            </w:r>
          </w:p>
        </w:tc>
      </w:tr>
    </w:tbl>
    <w:p w14:paraId="2440E0AF" w14:textId="77777777" w:rsidR="00C75EA5" w:rsidRDefault="00000000">
      <w:pPr>
        <w:pStyle w:val="BodyText"/>
      </w:pPr>
      <w:r>
        <w:t>All null hypotheses were rejected at α = 0.05.</w:t>
      </w:r>
    </w:p>
    <w:p w14:paraId="67F86733" w14:textId="77777777" w:rsidR="00C75EA5" w:rsidRDefault="00000000">
      <w:r>
        <w:pict w14:anchorId="7D58F101">
          <v:rect id="_x0000_i1488" style="width:0;height:1.5pt" o:hralign="center" o:hrstd="t" o:hr="t"/>
        </w:pict>
      </w:r>
    </w:p>
    <w:p w14:paraId="3F9BF043" w14:textId="77777777" w:rsidR="00C75EA5" w:rsidRDefault="00000000">
      <w:pPr>
        <w:pStyle w:val="Heading2"/>
      </w:pPr>
      <w:bookmarkStart w:id="34" w:name="dimensionality-reduction-using-pca"/>
      <w:bookmarkEnd w:id="31"/>
      <w:bookmarkEnd w:id="33"/>
      <w:r>
        <w:t>9. Dimensionality Reduction using PCA</w:t>
      </w:r>
    </w:p>
    <w:p w14:paraId="5C5D00EC" w14:textId="77777777" w:rsidR="00C75EA5" w:rsidRDefault="00000000">
      <w:pPr>
        <w:pStyle w:val="Heading3"/>
      </w:pPr>
      <w:bookmarkStart w:id="35" w:name="pca-preparation"/>
      <w:r>
        <w:t>9.1 PCA Preparation</w:t>
      </w:r>
    </w:p>
    <w:p w14:paraId="76F93B9E" w14:textId="77777777" w:rsidR="00C75EA5" w:rsidRDefault="00000000">
      <w:pPr>
        <w:pStyle w:val="Compact"/>
        <w:numPr>
          <w:ilvl w:val="0"/>
          <w:numId w:val="24"/>
        </w:numPr>
      </w:pPr>
      <w:r>
        <w:t>All features encoded and standardized</w:t>
      </w:r>
    </w:p>
    <w:p w14:paraId="52710D17" w14:textId="77777777" w:rsidR="00C75EA5" w:rsidRDefault="00000000">
      <w:pPr>
        <w:pStyle w:val="Compact"/>
        <w:numPr>
          <w:ilvl w:val="0"/>
          <w:numId w:val="24"/>
        </w:numPr>
      </w:pPr>
      <w:r>
        <w:t>PCA applied to full feature matrix</w:t>
      </w:r>
    </w:p>
    <w:p w14:paraId="56100C63" w14:textId="77777777" w:rsidR="00C75EA5" w:rsidRDefault="00000000">
      <w:pPr>
        <w:pStyle w:val="Heading3"/>
      </w:pPr>
      <w:bookmarkStart w:id="36" w:name="explained-variance-analysis"/>
      <w:bookmarkEnd w:id="35"/>
      <w:r>
        <w:t>9.2 Explained Variance Analysis</w:t>
      </w:r>
    </w:p>
    <w:p w14:paraId="40B8146C" w14:textId="77777777" w:rsidR="00C75EA5" w:rsidRDefault="00000000">
      <w:pPr>
        <w:pStyle w:val="Compact"/>
        <w:numPr>
          <w:ilvl w:val="0"/>
          <w:numId w:val="25"/>
        </w:numPr>
      </w:pPr>
      <w:r>
        <w:t>Majority of variance captured by first few components</w:t>
      </w:r>
    </w:p>
    <w:p w14:paraId="70F440A2" w14:textId="77777777" w:rsidR="00C75EA5" w:rsidRDefault="00000000">
      <w:pPr>
        <w:pStyle w:val="Compact"/>
        <w:numPr>
          <w:ilvl w:val="0"/>
          <w:numId w:val="25"/>
        </w:numPr>
      </w:pPr>
      <w:r>
        <w:t>Indicates high feature redundancy</w:t>
      </w:r>
    </w:p>
    <w:p w14:paraId="6560790A" w14:textId="77777777" w:rsidR="00C75EA5" w:rsidRDefault="00000000">
      <w:pPr>
        <w:pStyle w:val="Heading3"/>
      </w:pPr>
      <w:bookmarkStart w:id="37" w:name="principal-component-interpretation"/>
      <w:bookmarkEnd w:id="36"/>
      <w:r>
        <w:t>9.3 Principal Component Interpretation</w:t>
      </w:r>
    </w:p>
    <w:p w14:paraId="41106DF1" w14:textId="77777777" w:rsidR="00C75EA5" w:rsidRDefault="00000000">
      <w:pPr>
        <w:pStyle w:val="Compact"/>
        <w:numPr>
          <w:ilvl w:val="0"/>
          <w:numId w:val="26"/>
        </w:numPr>
      </w:pPr>
      <w:r>
        <w:rPr>
          <w:b/>
          <w:bCs/>
        </w:rPr>
        <w:t>PC1:</w:t>
      </w:r>
      <w:r>
        <w:t xml:space="preserve"> Usage intensity and financial exposure</w:t>
      </w:r>
    </w:p>
    <w:p w14:paraId="2E569350" w14:textId="77777777" w:rsidR="00C75EA5" w:rsidRDefault="00000000">
      <w:pPr>
        <w:pStyle w:val="Compact"/>
        <w:numPr>
          <w:ilvl w:val="0"/>
          <w:numId w:val="26"/>
        </w:numPr>
      </w:pPr>
      <w:r>
        <w:rPr>
          <w:b/>
          <w:bCs/>
        </w:rPr>
        <w:t>PC2:</w:t>
      </w:r>
      <w:r>
        <w:t xml:space="preserve"> Contractual commitment and billing behavior</w:t>
      </w:r>
    </w:p>
    <w:p w14:paraId="4A5E38F5" w14:textId="77777777" w:rsidR="00C75EA5" w:rsidRDefault="00000000">
      <w:pPr>
        <w:pStyle w:val="Heading3"/>
      </w:pPr>
      <w:bookmarkStart w:id="38" w:name="pca-validation-against-eda"/>
      <w:bookmarkEnd w:id="37"/>
      <w:r>
        <w:t>9.4 PCA Validation Against EDA</w:t>
      </w:r>
    </w:p>
    <w:p w14:paraId="1BBBE121" w14:textId="77777777" w:rsidR="00C75EA5" w:rsidRDefault="00000000">
      <w:pPr>
        <w:pStyle w:val="FirstParagraph"/>
      </w:pPr>
      <w:r>
        <w:t>PCA projections confirm EDA conclusions, reinforcing confidence in identified churn drivers.</w:t>
      </w:r>
    </w:p>
    <w:p w14:paraId="11B86577" w14:textId="77777777" w:rsidR="00C75EA5" w:rsidRDefault="00000000">
      <w:r>
        <w:pict w14:anchorId="5822A0AF">
          <v:rect id="_x0000_i1489" style="width:0;height:1.5pt" o:hralign="center" o:hrstd="t" o:hr="t"/>
        </w:pict>
      </w:r>
    </w:p>
    <w:p w14:paraId="6A193BBA" w14:textId="77777777" w:rsidR="00C75EA5" w:rsidRDefault="00000000">
      <w:pPr>
        <w:pStyle w:val="Heading2"/>
      </w:pPr>
      <w:bookmarkStart w:id="39" w:name="X91bc79c149b0da860a7ca6ddf2ab4a4b17bc2fb"/>
      <w:bookmarkEnd w:id="34"/>
      <w:bookmarkEnd w:id="38"/>
      <w:r>
        <w:t>10. Business Conclusions &amp; Strategic Implications</w:t>
      </w:r>
    </w:p>
    <w:p w14:paraId="651542EF" w14:textId="77777777" w:rsidR="00C75EA5" w:rsidRDefault="00000000">
      <w:pPr>
        <w:pStyle w:val="Heading3"/>
      </w:pPr>
      <w:bookmarkStart w:id="40" w:name="key-churn-drivers"/>
      <w:r>
        <w:t>Key Churn Drivers</w:t>
      </w:r>
    </w:p>
    <w:p w14:paraId="7BB5A808" w14:textId="77777777" w:rsidR="00C75EA5" w:rsidRDefault="00000000">
      <w:pPr>
        <w:pStyle w:val="Compact"/>
        <w:numPr>
          <w:ilvl w:val="0"/>
          <w:numId w:val="27"/>
        </w:numPr>
      </w:pPr>
      <w:r>
        <w:t>Short tenure (early lifecycle customers)</w:t>
      </w:r>
    </w:p>
    <w:p w14:paraId="02FC399D" w14:textId="77777777" w:rsidR="00C75EA5" w:rsidRDefault="00000000">
      <w:pPr>
        <w:pStyle w:val="Compact"/>
        <w:numPr>
          <w:ilvl w:val="0"/>
          <w:numId w:val="27"/>
        </w:numPr>
      </w:pPr>
      <w:r>
        <w:t>High monthly charges</w:t>
      </w:r>
    </w:p>
    <w:p w14:paraId="213AF582" w14:textId="77777777" w:rsidR="00C75EA5" w:rsidRDefault="00000000">
      <w:pPr>
        <w:pStyle w:val="Compact"/>
        <w:numPr>
          <w:ilvl w:val="0"/>
          <w:numId w:val="27"/>
        </w:numPr>
      </w:pPr>
      <w:r>
        <w:t>Month-to-month contracts</w:t>
      </w:r>
    </w:p>
    <w:p w14:paraId="6DE93BEA" w14:textId="77777777" w:rsidR="00C75EA5" w:rsidRDefault="00000000">
      <w:pPr>
        <w:pStyle w:val="Compact"/>
        <w:numPr>
          <w:ilvl w:val="0"/>
          <w:numId w:val="27"/>
        </w:numPr>
      </w:pPr>
      <w:r>
        <w:t>Limited service engagement</w:t>
      </w:r>
    </w:p>
    <w:p w14:paraId="27AC7FFD" w14:textId="77777777" w:rsidR="00C75EA5" w:rsidRDefault="00000000">
      <w:pPr>
        <w:pStyle w:val="Heading3"/>
      </w:pPr>
      <w:bookmarkStart w:id="41" w:name="strategic-recommendations"/>
      <w:bookmarkEnd w:id="40"/>
      <w:r>
        <w:t>Strategic Recommendations</w:t>
      </w:r>
    </w:p>
    <w:p w14:paraId="1FB6C9AE" w14:textId="77777777" w:rsidR="00C75EA5" w:rsidRDefault="00000000">
      <w:pPr>
        <w:pStyle w:val="Compact"/>
        <w:numPr>
          <w:ilvl w:val="0"/>
          <w:numId w:val="28"/>
        </w:numPr>
      </w:pPr>
      <w:r>
        <w:t>Strengthen onboarding and early engagement programs</w:t>
      </w:r>
    </w:p>
    <w:p w14:paraId="4263D79A" w14:textId="77777777" w:rsidR="00C75EA5" w:rsidRDefault="00000000">
      <w:pPr>
        <w:pStyle w:val="Compact"/>
        <w:numPr>
          <w:ilvl w:val="0"/>
          <w:numId w:val="28"/>
        </w:numPr>
      </w:pPr>
      <w:r>
        <w:t>Promote long-term contracts through incentives</w:t>
      </w:r>
    </w:p>
    <w:p w14:paraId="0B52FC0D" w14:textId="77777777" w:rsidR="00C75EA5" w:rsidRDefault="00000000">
      <w:pPr>
        <w:pStyle w:val="Compact"/>
        <w:numPr>
          <w:ilvl w:val="0"/>
          <w:numId w:val="28"/>
        </w:numPr>
      </w:pPr>
      <w:r>
        <w:t>Introduce pricing personalization for high-risk segments</w:t>
      </w:r>
    </w:p>
    <w:p w14:paraId="099C2EAE" w14:textId="77777777" w:rsidR="00C75EA5" w:rsidRDefault="00000000">
      <w:pPr>
        <w:pStyle w:val="Compact"/>
        <w:numPr>
          <w:ilvl w:val="0"/>
          <w:numId w:val="28"/>
        </w:numPr>
      </w:pPr>
      <w:r>
        <w:t>Increase service bundling to raise switching costs</w:t>
      </w:r>
    </w:p>
    <w:p w14:paraId="47B78647" w14:textId="77777777" w:rsidR="00C75EA5" w:rsidRDefault="00000000">
      <w:r>
        <w:pict w14:anchorId="437B3403">
          <v:rect id="_x0000_i1490" style="width:0;height:1.5pt" o:hralign="center" o:hrstd="t" o:hr="t"/>
        </w:pict>
      </w:r>
    </w:p>
    <w:p w14:paraId="66A72D0E" w14:textId="77777777" w:rsidR="00C75EA5" w:rsidRDefault="00000000">
      <w:pPr>
        <w:pStyle w:val="Heading2"/>
      </w:pPr>
      <w:bookmarkStart w:id="42" w:name="references"/>
      <w:bookmarkEnd w:id="39"/>
      <w:bookmarkEnd w:id="41"/>
      <w:r>
        <w:lastRenderedPageBreak/>
        <w:t>11. References</w:t>
      </w:r>
    </w:p>
    <w:p w14:paraId="36785511" w14:textId="77777777" w:rsidR="00C75EA5" w:rsidRDefault="00000000">
      <w:pPr>
        <w:pStyle w:val="Compact"/>
        <w:numPr>
          <w:ilvl w:val="0"/>
          <w:numId w:val="29"/>
        </w:numPr>
      </w:pPr>
      <w:r>
        <w:t>Verbeke et al. – Predictive Modeling for Customer Churn</w:t>
      </w:r>
    </w:p>
    <w:p w14:paraId="416444FE" w14:textId="77777777" w:rsidR="00C75EA5" w:rsidRDefault="00000000">
      <w:pPr>
        <w:pStyle w:val="Compact"/>
        <w:numPr>
          <w:ilvl w:val="0"/>
          <w:numId w:val="29"/>
        </w:numPr>
      </w:pPr>
      <w:r>
        <w:t>IBM Telco Customer Churn Dataset</w:t>
      </w:r>
    </w:p>
    <w:p w14:paraId="3EB7999E" w14:textId="77777777" w:rsidR="00C75EA5" w:rsidRDefault="00000000">
      <w:pPr>
        <w:pStyle w:val="Compact"/>
        <w:numPr>
          <w:ilvl w:val="0"/>
          <w:numId w:val="29"/>
        </w:numPr>
      </w:pPr>
      <w:r>
        <w:t>Hastie, Tibshirani, Friedman – The Elements of Statistical Learning</w:t>
      </w:r>
    </w:p>
    <w:p w14:paraId="248D17F8" w14:textId="77777777" w:rsidR="00C75EA5" w:rsidRDefault="00000000">
      <w:pPr>
        <w:pStyle w:val="Compact"/>
        <w:numPr>
          <w:ilvl w:val="0"/>
          <w:numId w:val="29"/>
        </w:numPr>
      </w:pPr>
      <w:r>
        <w:t>Scikit-</w:t>
      </w:r>
      <w:proofErr w:type="gramStart"/>
      <w:r>
        <w:t>learn</w:t>
      </w:r>
      <w:proofErr w:type="gramEnd"/>
      <w:r>
        <w:t xml:space="preserve"> Official Documentation</w:t>
      </w:r>
    </w:p>
    <w:p w14:paraId="6A21DDDD" w14:textId="5DAA22D8" w:rsidR="00096FF0" w:rsidRDefault="00096FF0" w:rsidP="00096FF0">
      <w:pPr>
        <w:pStyle w:val="NormalWeb"/>
        <w:numPr>
          <w:ilvl w:val="0"/>
          <w:numId w:val="29"/>
        </w:numPr>
      </w:pPr>
      <w:r>
        <w:t xml:space="preserve"> Imani, M., Joudaki, M., </w:t>
      </w:r>
      <w:proofErr w:type="spellStart"/>
      <w:r>
        <w:t>Beikmohammadi</w:t>
      </w:r>
      <w:proofErr w:type="spellEnd"/>
      <w:r>
        <w:t xml:space="preserve">, A., &amp; </w:t>
      </w:r>
      <w:proofErr w:type="spellStart"/>
      <w:r>
        <w:t>Arabnia</w:t>
      </w:r>
      <w:proofErr w:type="spellEnd"/>
      <w:r>
        <w:t xml:space="preserve">, H. R. (2025). </w:t>
      </w:r>
      <w:r>
        <w:rPr>
          <w:rStyle w:val="Emphasis"/>
        </w:rPr>
        <w:t>Customer churn prediction: A systematic review of recent advances, trends, and challenges in machine learning and deep learning</w:t>
      </w:r>
      <w:r>
        <w:t xml:space="preserve">. </w:t>
      </w:r>
      <w:r>
        <w:rPr>
          <w:rStyle w:val="Emphasis"/>
        </w:rPr>
        <w:t>Machine Learning and Knowledge Extraction, 7</w:t>
      </w:r>
      <w:r>
        <w:t xml:space="preserve">(3), 105. https://doi.org/10.3390/make7030105 </w:t>
      </w:r>
      <w:hyperlink r:id="rId5" w:tgtFrame="_blank" w:history="1">
        <w:r>
          <w:rPr>
            <w:rStyle w:val="max-w-15ch"/>
            <w:color w:val="0000FF"/>
            <w:u w:val="single"/>
          </w:rPr>
          <w:t>MDPI</w:t>
        </w:r>
      </w:hyperlink>
    </w:p>
    <w:p w14:paraId="304948B1" w14:textId="6307A88F" w:rsidR="00096FF0" w:rsidRDefault="00096FF0" w:rsidP="00096FF0">
      <w:pPr>
        <w:pStyle w:val="NormalWeb"/>
        <w:numPr>
          <w:ilvl w:val="0"/>
          <w:numId w:val="29"/>
        </w:numPr>
      </w:pPr>
      <w:r>
        <w:t xml:space="preserve">  Abdelhady, M. G., &amp; Mohamed, K. A. (2025). </w:t>
      </w:r>
      <w:r>
        <w:rPr>
          <w:rStyle w:val="Emphasis"/>
        </w:rPr>
        <w:t>Leveraging artificial intelligence for predictive customer churn modeling in telecommunications: A framework for enhanced customer relationship management</w:t>
      </w:r>
      <w:r>
        <w:t xml:space="preserve">. </w:t>
      </w:r>
      <w:r>
        <w:rPr>
          <w:rStyle w:val="Emphasis"/>
        </w:rPr>
        <w:t>Scientific Reports</w:t>
      </w:r>
      <w:r>
        <w:t xml:space="preserve">. https://doi.org/10.1038/s41598-025-30108-z </w:t>
      </w:r>
      <w:hyperlink r:id="rId6" w:tgtFrame="_blank" w:history="1">
        <w:r>
          <w:rPr>
            <w:rStyle w:val="max-w-15ch"/>
            <w:color w:val="0000FF"/>
            <w:u w:val="single"/>
          </w:rPr>
          <w:t>Nature</w:t>
        </w:r>
      </w:hyperlink>
    </w:p>
    <w:p w14:paraId="06768D3D" w14:textId="37DA6BF6" w:rsidR="00096FF0" w:rsidRDefault="00096FF0" w:rsidP="00096FF0">
      <w:pPr>
        <w:pStyle w:val="NormalWeb"/>
        <w:numPr>
          <w:ilvl w:val="0"/>
          <w:numId w:val="29"/>
        </w:numPr>
      </w:pPr>
      <w:r>
        <w:t xml:space="preserve">  Qaraeen, T., </w:t>
      </w:r>
      <w:proofErr w:type="spellStart"/>
      <w:r>
        <w:t>Qaqour</w:t>
      </w:r>
      <w:proofErr w:type="spellEnd"/>
      <w:r>
        <w:t xml:space="preserve">, N., &amp; </w:t>
      </w:r>
      <w:proofErr w:type="spellStart"/>
      <w:r>
        <w:t>Taqatqa</w:t>
      </w:r>
      <w:proofErr w:type="spellEnd"/>
      <w:r>
        <w:t xml:space="preserve">, S. (2024). </w:t>
      </w:r>
      <w:r>
        <w:rPr>
          <w:rStyle w:val="Emphasis"/>
        </w:rPr>
        <w:t>Predictive customer analytics: Machine learning for churn prediction and retention</w:t>
      </w:r>
      <w:r>
        <w:t xml:space="preserve">. </w:t>
      </w:r>
      <w:r>
        <w:rPr>
          <w:rStyle w:val="Emphasis"/>
        </w:rPr>
        <w:t>Ahliya Journal of Business Technology and MEAN Economies, 1</w:t>
      </w:r>
      <w:r>
        <w:t xml:space="preserve">(1), 11–28. https://doi.org/10.59994/ajbtme.2024.1.11 </w:t>
      </w:r>
      <w:hyperlink r:id="rId7" w:tgtFrame="_blank" w:history="1">
        <w:r>
          <w:rPr>
            <w:rStyle w:val="max-w-15ch"/>
            <w:color w:val="0000FF"/>
            <w:u w:val="single"/>
          </w:rPr>
          <w:t>journal.paluniv.edu.ps</w:t>
        </w:r>
      </w:hyperlink>
    </w:p>
    <w:p w14:paraId="0D1515F6" w14:textId="516C996D" w:rsidR="00096FF0" w:rsidRDefault="00096FF0" w:rsidP="00096FF0">
      <w:pPr>
        <w:pStyle w:val="NormalWeb"/>
        <w:numPr>
          <w:ilvl w:val="0"/>
          <w:numId w:val="29"/>
        </w:numPr>
      </w:pPr>
      <w:r>
        <w:t xml:space="preserve">  Liu, S. (2025). </w:t>
      </w:r>
      <w:r>
        <w:rPr>
          <w:rStyle w:val="Emphasis"/>
        </w:rPr>
        <w:t>Literature Review on Customer Churn Prediction in Telecom Industry</w:t>
      </w:r>
      <w:r>
        <w:t xml:space="preserve">. </w:t>
      </w:r>
      <w:r>
        <w:rPr>
          <w:rStyle w:val="Emphasis"/>
        </w:rPr>
        <w:t>Theoretical and Natural Science, 132</w:t>
      </w:r>
      <w:r>
        <w:t xml:space="preserve">, 27–32. https://doi.org/10.54254/2753-8818/2025.DL27120 </w:t>
      </w:r>
      <w:hyperlink r:id="rId8" w:tgtFrame="_blank" w:history="1">
        <w:r>
          <w:rPr>
            <w:rStyle w:val="max-w-15ch"/>
            <w:color w:val="0000FF"/>
            <w:u w:val="single"/>
          </w:rPr>
          <w:t>tns.ewapub.com</w:t>
        </w:r>
      </w:hyperlink>
    </w:p>
    <w:p w14:paraId="7CF825B3" w14:textId="0F5A66CA" w:rsidR="00096FF0" w:rsidRDefault="00096FF0" w:rsidP="00096FF0">
      <w:pPr>
        <w:pStyle w:val="NormalWeb"/>
        <w:numPr>
          <w:ilvl w:val="0"/>
          <w:numId w:val="29"/>
        </w:numPr>
      </w:pPr>
      <w:r>
        <w:t xml:space="preserve"> Ahmad, A. K., Jafar, A., &amp; </w:t>
      </w:r>
      <w:proofErr w:type="spellStart"/>
      <w:r>
        <w:t>Aljoumaa</w:t>
      </w:r>
      <w:proofErr w:type="spellEnd"/>
      <w:r>
        <w:t xml:space="preserve">, K. (2019). </w:t>
      </w:r>
      <w:r>
        <w:rPr>
          <w:rStyle w:val="Emphasis"/>
        </w:rPr>
        <w:t>Customer churn prediction in telecom using machine learning in a big data platform</w:t>
      </w:r>
      <w:r>
        <w:t xml:space="preserve">. </w:t>
      </w:r>
      <w:r>
        <w:rPr>
          <w:rStyle w:val="Emphasis"/>
        </w:rPr>
        <w:t>Journal of Big Data, 6</w:t>
      </w:r>
      <w:r>
        <w:t xml:space="preserve">(28). </w:t>
      </w:r>
      <w:hyperlink r:id="rId9" w:tgtFrame="_new" w:history="1">
        <w:r>
          <w:rPr>
            <w:rStyle w:val="Hyperlink"/>
          </w:rPr>
          <w:t>https://doi.org/10.1186/s40537-019-0191-6</w:t>
        </w:r>
      </w:hyperlink>
      <w:r>
        <w:t xml:space="preserve"> </w:t>
      </w:r>
      <w:hyperlink r:id="rId10" w:tgtFrame="_blank" w:history="1">
        <w:r>
          <w:rPr>
            <w:rStyle w:val="max-w-15ch"/>
            <w:color w:val="0000FF"/>
            <w:u w:val="single"/>
          </w:rPr>
          <w:t>SpringerLink</w:t>
        </w:r>
      </w:hyperlink>
    </w:p>
    <w:p w14:paraId="56CB5217" w14:textId="1A260B5B" w:rsidR="00096FF0" w:rsidRDefault="00096FF0" w:rsidP="00096FF0">
      <w:pPr>
        <w:pStyle w:val="NormalWeb"/>
        <w:numPr>
          <w:ilvl w:val="0"/>
          <w:numId w:val="29"/>
        </w:numPr>
      </w:pPr>
      <w:r>
        <w:t xml:space="preserve">  Adnan, N. N. B., &amp; Awang, M. K. B. (2024). </w:t>
      </w:r>
      <w:r>
        <w:rPr>
          <w:rStyle w:val="Emphasis"/>
        </w:rPr>
        <w:t>A review on classification algorithms for customer churn classification</w:t>
      </w:r>
      <w:r>
        <w:t xml:space="preserve">. </w:t>
      </w:r>
      <w:r>
        <w:rPr>
          <w:rStyle w:val="Emphasis"/>
        </w:rPr>
        <w:t>International Journal of Recent Technology and Engineering (IJRTE), 13</w:t>
      </w:r>
      <w:r>
        <w:t>(1), 5–15. https://doi.org/10.35940/ijrte.A8030.13010524</w:t>
      </w:r>
    </w:p>
    <w:p w14:paraId="0FAE17C7" w14:textId="77777777" w:rsidR="00096FF0" w:rsidRDefault="00096FF0" w:rsidP="00096FF0">
      <w:pPr>
        <w:pStyle w:val="Compact"/>
        <w:ind w:left="360"/>
      </w:pPr>
    </w:p>
    <w:p w14:paraId="53DD4934" w14:textId="77777777" w:rsidR="00C75EA5" w:rsidRDefault="00000000">
      <w:r>
        <w:pict w14:anchorId="68873A25">
          <v:rect id="_x0000_i1491" style="width:0;height:1.5pt" o:hralign="center" o:hrstd="t" o:hr="t"/>
        </w:pict>
      </w:r>
    </w:p>
    <w:bookmarkEnd w:id="0"/>
    <w:bookmarkEnd w:id="42"/>
    <w:p w14:paraId="6B4E2E00" w14:textId="4CB96F74" w:rsidR="00C75EA5" w:rsidRDefault="00C75EA5">
      <w:pPr>
        <w:pStyle w:val="FirstParagraph"/>
      </w:pPr>
    </w:p>
    <w:sectPr w:rsidR="00C75E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C636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1FE66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5D6B1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9267434">
    <w:abstractNumId w:val="0"/>
  </w:num>
  <w:num w:numId="2" w16cid:durableId="1329475845">
    <w:abstractNumId w:val="1"/>
  </w:num>
  <w:num w:numId="3" w16cid:durableId="1880243312">
    <w:abstractNumId w:val="1"/>
  </w:num>
  <w:num w:numId="4" w16cid:durableId="685059387">
    <w:abstractNumId w:val="1"/>
  </w:num>
  <w:num w:numId="5" w16cid:durableId="856193113">
    <w:abstractNumId w:val="1"/>
  </w:num>
  <w:num w:numId="6" w16cid:durableId="2114468368">
    <w:abstractNumId w:val="1"/>
  </w:num>
  <w:num w:numId="7" w16cid:durableId="268707645">
    <w:abstractNumId w:val="1"/>
  </w:num>
  <w:num w:numId="8" w16cid:durableId="162399924">
    <w:abstractNumId w:val="1"/>
  </w:num>
  <w:num w:numId="9" w16cid:durableId="1315111364">
    <w:abstractNumId w:val="1"/>
  </w:num>
  <w:num w:numId="10" w16cid:durableId="1395278269">
    <w:abstractNumId w:val="1"/>
  </w:num>
  <w:num w:numId="11" w16cid:durableId="1424304082">
    <w:abstractNumId w:val="1"/>
  </w:num>
  <w:num w:numId="12" w16cid:durableId="163865762">
    <w:abstractNumId w:val="1"/>
  </w:num>
  <w:num w:numId="13" w16cid:durableId="2056543909">
    <w:abstractNumId w:val="1"/>
  </w:num>
  <w:num w:numId="14" w16cid:durableId="1868641800">
    <w:abstractNumId w:val="1"/>
  </w:num>
  <w:num w:numId="15" w16cid:durableId="2120561853">
    <w:abstractNumId w:val="1"/>
  </w:num>
  <w:num w:numId="16" w16cid:durableId="1945455615">
    <w:abstractNumId w:val="1"/>
  </w:num>
  <w:num w:numId="17" w16cid:durableId="198667251">
    <w:abstractNumId w:val="1"/>
  </w:num>
  <w:num w:numId="18" w16cid:durableId="784274955">
    <w:abstractNumId w:val="1"/>
  </w:num>
  <w:num w:numId="19" w16cid:durableId="1632054470">
    <w:abstractNumId w:val="1"/>
  </w:num>
  <w:num w:numId="20" w16cid:durableId="772018820">
    <w:abstractNumId w:val="1"/>
  </w:num>
  <w:num w:numId="21" w16cid:durableId="996155138">
    <w:abstractNumId w:val="1"/>
  </w:num>
  <w:num w:numId="22" w16cid:durableId="1228568170">
    <w:abstractNumId w:val="1"/>
  </w:num>
  <w:num w:numId="23" w16cid:durableId="299455736">
    <w:abstractNumId w:val="1"/>
  </w:num>
  <w:num w:numId="24" w16cid:durableId="944267348">
    <w:abstractNumId w:val="1"/>
  </w:num>
  <w:num w:numId="25" w16cid:durableId="246110930">
    <w:abstractNumId w:val="1"/>
  </w:num>
  <w:num w:numId="26" w16cid:durableId="522282321">
    <w:abstractNumId w:val="1"/>
  </w:num>
  <w:num w:numId="27" w16cid:durableId="1608345293">
    <w:abstractNumId w:val="1"/>
  </w:num>
  <w:num w:numId="28" w16cid:durableId="1255550691">
    <w:abstractNumId w:val="1"/>
  </w:num>
  <w:num w:numId="29" w16cid:durableId="705178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75EA5"/>
    <w:rsid w:val="00013812"/>
    <w:rsid w:val="00096FF0"/>
    <w:rsid w:val="00C75EA5"/>
    <w:rsid w:val="00F22D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A7D63"/>
  <w15:docId w15:val="{4E9CB9A1-9F3D-4F32-AC97-11E390FDE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096FF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096FF0"/>
    <w:rPr>
      <w:i/>
      <w:iCs/>
    </w:rPr>
  </w:style>
  <w:style w:type="character" w:customStyle="1" w:styleId="ms-1">
    <w:name w:val="ms-1"/>
    <w:basedOn w:val="DefaultParagraphFont"/>
    <w:rsid w:val="00096FF0"/>
  </w:style>
  <w:style w:type="character" w:customStyle="1" w:styleId="max-w-15ch">
    <w:name w:val="max-w-[15ch]"/>
    <w:basedOn w:val="DefaultParagraphFont"/>
    <w:rsid w:val="00096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ns.ewapub.com/article/view/27120?utm_source=chatgpt.com" TargetMode="External"/><Relationship Id="rId3" Type="http://schemas.openxmlformats.org/officeDocument/2006/relationships/settings" Target="settings.xml"/><Relationship Id="rId7" Type="http://schemas.openxmlformats.org/officeDocument/2006/relationships/hyperlink" Target="https://journal.paluniv.edu.ps/index.php/ajbte/article/view/104?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articles/s41598-025-30108-z?utm_source=chatgpt.com" TargetMode="External"/><Relationship Id="rId11" Type="http://schemas.openxmlformats.org/officeDocument/2006/relationships/fontTable" Target="fontTable.xml"/><Relationship Id="rId5" Type="http://schemas.openxmlformats.org/officeDocument/2006/relationships/hyperlink" Target="https://www.mdpi.com/2504-4990/7/3/105?utm_source=chatgpt.com" TargetMode="External"/><Relationship Id="rId10" Type="http://schemas.openxmlformats.org/officeDocument/2006/relationships/hyperlink" Target="https://journalofbigdata.springeropen.com/articles/10.1186/s40537-019-0191-6?utm_source=chatgpt.com" TargetMode="External"/><Relationship Id="rId4" Type="http://schemas.openxmlformats.org/officeDocument/2006/relationships/webSettings" Target="webSettings.xml"/><Relationship Id="rId9" Type="http://schemas.openxmlformats.org/officeDocument/2006/relationships/hyperlink" Target="https://doi.org/10.1186/s40537-019-01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1612</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Mohammed Salah</cp:lastModifiedBy>
  <cp:revision>2</cp:revision>
  <dcterms:created xsi:type="dcterms:W3CDTF">2025-12-14T10:06:00Z</dcterms:created>
  <dcterms:modified xsi:type="dcterms:W3CDTF">2025-12-16T15:37:00Z</dcterms:modified>
</cp:coreProperties>
</file>