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A3A5C"/>
          <w:sz w:val="52"/>
          <w:szCs w:val="52"/>
        </w:rPr>
        <w:t xml:space="preserve">Egypt Real Estate 2026</w:t>
      </w:r>
    </w:p>
    <w:p>
      <w:pPr>
        <w:spacing w:after="80" w:before="0"/>
      </w:pPr>
      <w:r>
        <w:rPr>
          <w:color w:val="555555"/>
          <w:sz w:val="28"/>
          <w:szCs w:val="28"/>
        </w:rPr>
        <w:t xml:space="preserve">Data Dictionary — Column Reference</w:t>
      </w:r>
    </w:p>
    <w:p>
      <w:pPr>
        <w:spacing w:after="80" w:before="0"/>
      </w:pPr>
      <w:r>
        <w:rPr>
          <w:i/>
          <w:iCs/>
          <w:color w:val="888888"/>
          <w:sz w:val="18"/>
          <w:szCs w:val="18"/>
        </w:rPr>
        <w:t xml:space="preserve">Source files: egypt_re_clean.csv  |  egypt_re_amenities_binary.csv</w:t>
      </w:r>
    </w:p>
    <w:p>
      <w:pPr>
        <w:spacing w:after="400" w:before="0"/>
      </w:pPr>
      <w:r>
        <w:rPr>
          <w:i/>
          <w:iCs/>
          <w:color w:val="888888"/>
          <w:sz w:val="18"/>
          <w:szCs w:val="18"/>
        </w:rPr>
        <w:t xml:space="preserve">Total columns documented: 70  |  35,830 listings  |  Scraped February 2026</w:t>
      </w:r>
    </w:p>
    <w:p>
      <w:pPr>
        <w:spacing w:after="60" w:before="60"/>
      </w:pPr>
      <w:r>
        <w:rPr>
          <w:color w:val="222222"/>
          <w:sz w:val="20"/>
          <w:szCs w:val="20"/>
        </w:rPr>
        <w:t xml:space="preserve">This reference explains every column in the dataset. Columns are grouped by theme. For each column you will find the data type expected, what the values represent, and any derivation notes where relevant. Use this guide alongside the Power BI or Tableau dashboards to interpret charts and filters correctly.</w:t>
      </w:r>
    </w:p>
    <w:p>
      <w:pPr>
        <w:spacing w:after="0" w:before="200"/>
      </w:pPr>
    </w:p>
    <w:p>
      <w:pPr>
        <w:pStyle w:val="Heading2"/>
        <w:spacing w:after="80" w:before="320"/>
        <w:rPr>
          <w:b/>
          <w:bCs/>
          <w:color w:val="1A3A5C"/>
          <w:sz w:val="24"/>
          <w:szCs w:val="24"/>
        </w:rPr>
      </w:pPr>
      <w:r>
        <w:t xml:space="preserve">1. Listing Identifier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5900"/>
      </w:tblGrid>
      <w:tr>
        <w:trPr>
          <w:tblHeader/>
        </w:trPr>
        <w:tc>
          <w:tcPr>
            <w:tcW w:type="dxa" w:w="2700"/>
            <w:tcBorders>
              <w:top w:val="none"/>
              <w:left w:val="none"/>
              <w:bottom w:val="single" w:color="C9A84C" w:sz="4"/>
              <w:right w:val="none"/>
            </w:tcBorders>
            <w:shd w:fill="1A3A5C" w:val="clear"/>
          </w:tcPr>
          <w:p>
            <w:pPr>
              <w:spacing w:after="60" w:before="60"/>
              <w:jc w:val="left"/>
            </w:pPr>
            <w:r>
              <w:rPr>
                <w:b/>
                <w:bCs/>
                <w:color w:val="FFFFFF"/>
                <w:sz w:val="18"/>
                <w:szCs w:val="18"/>
              </w:rPr>
              <w:t xml:space="preserve">Column</w:t>
            </w:r>
          </w:p>
        </w:tc>
        <w:tc>
          <w:tcPr>
            <w:tcW w:type="dxa" w:w="1600"/>
            <w:tcBorders>
              <w:top w:val="none"/>
              <w:left w:val="none"/>
              <w:bottom w:val="single" w:color="C9A84C" w:sz="4"/>
              <w:right w:val="none"/>
            </w:tcBorders>
            <w:shd w:fill="1A3A5C" w:val="clear"/>
          </w:tcPr>
          <w:p>
            <w:pPr>
              <w:spacing w:after="60" w:before="60"/>
              <w:jc w:val="left"/>
            </w:pPr>
            <w:r>
              <w:rPr>
                <w:b/>
                <w:bCs/>
                <w:color w:val="FFFFFF"/>
                <w:sz w:val="18"/>
                <w:szCs w:val="18"/>
              </w:rPr>
              <w:t xml:space="preserve">Type</w:t>
            </w:r>
          </w:p>
        </w:tc>
        <w:tc>
          <w:tcPr>
            <w:tcW w:type="dxa" w:w="5900"/>
            <w:tcBorders>
              <w:top w:val="none"/>
              <w:left w:val="none"/>
              <w:bottom w:val="single" w:color="C9A84C" w:sz="4"/>
              <w:right w:val="none"/>
            </w:tcBorders>
            <w:shd w:fill="1A3A5C" w:val="clear"/>
          </w:tcPr>
          <w:p>
            <w:pPr>
              <w:spacing w:after="60" w:before="60"/>
              <w:jc w:val="left"/>
            </w:pPr>
            <w:r>
              <w:rPr>
                <w:b/>
                <w:bCs/>
                <w:color w:val="FFFFFF"/>
                <w:sz w:val="18"/>
                <w:szCs w:val="18"/>
              </w:rPr>
              <w:t xml:space="preserve">Description</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listing_id</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Text</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Unique identifier for each listing (e.g. HYEPN5XPWQT7K05K4ST7EDWW5R). Use as the primary key for joins.</w:t>
            </w:r>
          </w:p>
        </w:tc>
      </w:tr>
    </w:tbl>
    <w:p>
      <w:pPr>
        <w:pStyle w:val="Heading2"/>
        <w:spacing w:after="80" w:before="320"/>
        <w:rPr>
          <w:b/>
          <w:bCs/>
          <w:color w:val="1A3A5C"/>
          <w:sz w:val="24"/>
          <w:szCs w:val="24"/>
        </w:rPr>
      </w:pPr>
      <w:r>
        <w:t xml:space="preserve">2. Property Classification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5900"/>
      </w:tblGrid>
      <w:tr>
        <w:trPr>
          <w:tblHeader/>
        </w:trPr>
        <w:tc>
          <w:tcPr>
            <w:tcW w:type="dxa" w:w="2700"/>
            <w:tcBorders>
              <w:top w:val="none"/>
              <w:left w:val="none"/>
              <w:bottom w:val="single" w:color="C9A84C" w:sz="4"/>
              <w:right w:val="none"/>
            </w:tcBorders>
            <w:shd w:fill="1A3A5C" w:val="clear"/>
          </w:tcPr>
          <w:p>
            <w:pPr>
              <w:spacing w:after="60" w:before="60"/>
              <w:jc w:val="left"/>
            </w:pPr>
            <w:r>
              <w:rPr>
                <w:b/>
                <w:bCs/>
                <w:color w:val="FFFFFF"/>
                <w:sz w:val="18"/>
                <w:szCs w:val="18"/>
              </w:rPr>
              <w:t xml:space="preserve">Column</w:t>
            </w:r>
          </w:p>
        </w:tc>
        <w:tc>
          <w:tcPr>
            <w:tcW w:type="dxa" w:w="1600"/>
            <w:tcBorders>
              <w:top w:val="none"/>
              <w:left w:val="none"/>
              <w:bottom w:val="single" w:color="C9A84C" w:sz="4"/>
              <w:right w:val="none"/>
            </w:tcBorders>
            <w:shd w:fill="1A3A5C" w:val="clear"/>
          </w:tcPr>
          <w:p>
            <w:pPr>
              <w:spacing w:after="60" w:before="60"/>
              <w:jc w:val="left"/>
            </w:pPr>
            <w:r>
              <w:rPr>
                <w:b/>
                <w:bCs/>
                <w:color w:val="FFFFFF"/>
                <w:sz w:val="18"/>
                <w:szCs w:val="18"/>
              </w:rPr>
              <w:t xml:space="preserve">Type</w:t>
            </w:r>
          </w:p>
        </w:tc>
        <w:tc>
          <w:tcPr>
            <w:tcW w:type="dxa" w:w="5900"/>
            <w:tcBorders>
              <w:top w:val="none"/>
              <w:left w:val="none"/>
              <w:bottom w:val="single" w:color="C9A84C" w:sz="4"/>
              <w:right w:val="none"/>
            </w:tcBorders>
            <w:shd w:fill="1A3A5C" w:val="clear"/>
          </w:tcPr>
          <w:p>
            <w:pPr>
              <w:spacing w:after="60" w:before="60"/>
              <w:jc w:val="left"/>
            </w:pPr>
            <w:r>
              <w:rPr>
                <w:b/>
                <w:bCs/>
                <w:color w:val="FFFFFF"/>
                <w:sz w:val="18"/>
                <w:szCs w:val="18"/>
              </w:rPr>
              <w:t xml:space="preserve">Description</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category</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Text</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Broad classification: "rent" or "buy". Mirrors offering_type.</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property_type</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Text</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Physical property category: Apartment, Villa, Townhouse, etc.</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offering_type</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Text</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Transaction type: "Rent" or "Buy".</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completion_status</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Text</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Construction state: Completed, Under Construction, Off-plan. May be empty for some listings.</w:t>
            </w:r>
          </w:p>
        </w:tc>
      </w:tr>
    </w:tbl>
    <w:p>
      <w:pPr>
        <w:pStyle w:val="Heading2"/>
        <w:spacing w:after="80" w:before="320"/>
        <w:rPr>
          <w:b/>
          <w:bCs/>
          <w:color w:val="1A3A5C"/>
          <w:sz w:val="24"/>
          <w:szCs w:val="24"/>
        </w:rPr>
      </w:pPr>
      <w:r>
        <w:t xml:space="preserve">3. Price</w:t>
      </w:r>
    </w:p>
    <w:p>
      <w:pPr>
        <w:spacing w:after="60" w:before="60"/>
      </w:pPr>
      <w:r>
        <w:rPr>
          <w:color w:val="222222"/>
          <w:sz w:val="20"/>
          <w:szCs w:val="20"/>
        </w:rPr>
        <w:t xml:space="preserve">All prices are in Egyptian Pounds (EGP). Rent listings show a periodic amount (monthly). Buy listings show the total sale price. price_per_sqm is always calculated the same way regardless of offering type.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5900"/>
      </w:tblGrid>
      <w:tr>
        <w:trPr>
          <w:tblHeader/>
        </w:trPr>
        <w:tc>
          <w:tcPr>
            <w:tcW w:type="dxa" w:w="2700"/>
            <w:tcBorders>
              <w:top w:val="none"/>
              <w:left w:val="none"/>
              <w:bottom w:val="single" w:color="C9A84C" w:sz="4"/>
              <w:right w:val="none"/>
            </w:tcBorders>
            <w:shd w:fill="1A3A5C" w:val="clear"/>
          </w:tcPr>
          <w:p>
            <w:pPr>
              <w:spacing w:after="60" w:before="60"/>
              <w:jc w:val="left"/>
            </w:pPr>
            <w:r>
              <w:rPr>
                <w:b/>
                <w:bCs/>
                <w:color w:val="FFFFFF"/>
                <w:sz w:val="18"/>
                <w:szCs w:val="18"/>
              </w:rPr>
              <w:t xml:space="preserve">Column</w:t>
            </w:r>
          </w:p>
        </w:tc>
        <w:tc>
          <w:tcPr>
            <w:tcW w:type="dxa" w:w="1600"/>
            <w:tcBorders>
              <w:top w:val="none"/>
              <w:left w:val="none"/>
              <w:bottom w:val="single" w:color="C9A84C" w:sz="4"/>
              <w:right w:val="none"/>
            </w:tcBorders>
            <w:shd w:fill="1A3A5C" w:val="clear"/>
          </w:tcPr>
          <w:p>
            <w:pPr>
              <w:spacing w:after="60" w:before="60"/>
              <w:jc w:val="left"/>
            </w:pPr>
            <w:r>
              <w:rPr>
                <w:b/>
                <w:bCs/>
                <w:color w:val="FFFFFF"/>
                <w:sz w:val="18"/>
                <w:szCs w:val="18"/>
              </w:rPr>
              <w:t xml:space="preserve">Type</w:t>
            </w:r>
          </w:p>
        </w:tc>
        <w:tc>
          <w:tcPr>
            <w:tcW w:type="dxa" w:w="5900"/>
            <w:tcBorders>
              <w:top w:val="none"/>
              <w:left w:val="none"/>
              <w:bottom w:val="single" w:color="C9A84C" w:sz="4"/>
              <w:right w:val="none"/>
            </w:tcBorders>
            <w:shd w:fill="1A3A5C" w:val="clear"/>
          </w:tcPr>
          <w:p>
            <w:pPr>
              <w:spacing w:after="60" w:before="60"/>
              <w:jc w:val="left"/>
            </w:pPr>
            <w:r>
              <w:rPr>
                <w:b/>
                <w:bCs/>
                <w:color w:val="FFFFFF"/>
                <w:sz w:val="18"/>
                <w:szCs w:val="18"/>
              </w:rPr>
              <w:t xml:space="preserve">Description</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price_egp</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Decimal</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Listing price in Egyptian Pounds (EGP). For rent listings this is a periodic amount (see price_period).</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price_period</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Text</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"monthly" for rent listings. Empty or "total" for buy listings.</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price_currency</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Text</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Currency of the price field — always "EGP" in this dataset.</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price_per_sqm</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Decimal</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Derived: price_egp divided by area_value. Useful for comparing value across different unit sizes.</w:t>
            </w:r>
          </w:p>
        </w:tc>
      </w:tr>
    </w:tbl>
    <w:p>
      <w:pPr>
        <w:pStyle w:val="Heading2"/>
        <w:spacing w:after="80" w:before="320"/>
        <w:rPr>
          <w:b/>
          <w:bCs/>
          <w:color w:val="1A3A5C"/>
          <w:sz w:val="24"/>
          <w:szCs w:val="24"/>
        </w:rPr>
      </w:pPr>
      <w:r>
        <w:t xml:space="preserve">4. Location Hierarchy</w:t>
      </w:r>
    </w:p>
    <w:p>
      <w:pPr>
        <w:spacing w:after="60" w:before="60"/>
      </w:pPr>
      <w:r>
        <w:rPr>
          <w:color w:val="222222"/>
          <w:sz w:val="20"/>
          <w:szCs w:val="20"/>
        </w:rPr>
        <w:t xml:space="preserve">The location data follows a four-level hierarchy: City → Town → District → Subdistrict. Most map visuals use lat/lon. Most ranking visuals use subdistrict (compound name).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5900"/>
      </w:tblGrid>
      <w:tr>
        <w:trPr>
          <w:tblHeader/>
        </w:trPr>
        <w:tc>
          <w:tcPr>
            <w:tcW w:type="dxa" w:w="2700"/>
            <w:tcBorders>
              <w:top w:val="none"/>
              <w:left w:val="none"/>
              <w:bottom w:val="single" w:color="C9A84C" w:sz="4"/>
              <w:right w:val="none"/>
            </w:tcBorders>
            <w:shd w:fill="1A3A5C" w:val="clear"/>
          </w:tcPr>
          <w:p>
            <w:pPr>
              <w:spacing w:after="60" w:before="60"/>
              <w:jc w:val="left"/>
            </w:pPr>
            <w:r>
              <w:rPr>
                <w:b/>
                <w:bCs/>
                <w:color w:val="FFFFFF"/>
                <w:sz w:val="18"/>
                <w:szCs w:val="18"/>
              </w:rPr>
              <w:t xml:space="preserve">Column</w:t>
            </w:r>
          </w:p>
        </w:tc>
        <w:tc>
          <w:tcPr>
            <w:tcW w:type="dxa" w:w="1600"/>
            <w:tcBorders>
              <w:top w:val="none"/>
              <w:left w:val="none"/>
              <w:bottom w:val="single" w:color="C9A84C" w:sz="4"/>
              <w:right w:val="none"/>
            </w:tcBorders>
            <w:shd w:fill="1A3A5C" w:val="clear"/>
          </w:tcPr>
          <w:p>
            <w:pPr>
              <w:spacing w:after="60" w:before="60"/>
              <w:jc w:val="left"/>
            </w:pPr>
            <w:r>
              <w:rPr>
                <w:b/>
                <w:bCs/>
                <w:color w:val="FFFFFF"/>
                <w:sz w:val="18"/>
                <w:szCs w:val="18"/>
              </w:rPr>
              <w:t xml:space="preserve">Type</w:t>
            </w:r>
          </w:p>
        </w:tc>
        <w:tc>
          <w:tcPr>
            <w:tcW w:type="dxa" w:w="5900"/>
            <w:tcBorders>
              <w:top w:val="none"/>
              <w:left w:val="none"/>
              <w:bottom w:val="single" w:color="C9A84C" w:sz="4"/>
              <w:right w:val="none"/>
            </w:tcBorders>
            <w:shd w:fill="1A3A5C" w:val="clear"/>
          </w:tcPr>
          <w:p>
            <w:pPr>
              <w:spacing w:after="60" w:before="60"/>
              <w:jc w:val="left"/>
            </w:pPr>
            <w:r>
              <w:rPr>
                <w:b/>
                <w:bCs/>
                <w:color w:val="FFFFFF"/>
                <w:sz w:val="18"/>
                <w:szCs w:val="18"/>
              </w:rPr>
              <w:t xml:space="preserve">Description</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location_full</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Text</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Full human-readable address string as scraped (compound, subdistrict, district, city).</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city</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Text</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Top-level city: Cairo or Giza.</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town</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Text</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Sub-city area or municipal zone (e.g. New Cairo City, 6 October City, Sheikh Zayed City).</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district</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Text</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Neighbourhood or district within the town (e.g. The 5th Settlement, Al Rehab, Zamalek).</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subdistrict</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Text</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Compound or micro-area name (e.g. Villette, Mivida, Zed Towers). Most granular geographic level.</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lat</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Decimal</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Latitude coordinate (WGS-84). Used for map visuals.</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lon</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Decimal</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Longitude coordinate (WGS-84). Used for map visuals.</w:t>
            </w:r>
          </w:p>
        </w:tc>
      </w:tr>
    </w:tbl>
    <w:p>
      <w:pPr>
        <w:pStyle w:val="Heading2"/>
        <w:spacing w:after="80" w:before="320"/>
        <w:rPr>
          <w:b/>
          <w:bCs/>
          <w:color w:val="1A3A5C"/>
          <w:sz w:val="24"/>
          <w:szCs w:val="24"/>
        </w:rPr>
      </w:pPr>
      <w:r>
        <w:t xml:space="preserve">5. Property Specifications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5900"/>
      </w:tblGrid>
      <w:tr>
        <w:trPr>
          <w:tblHeader/>
        </w:trPr>
        <w:tc>
          <w:tcPr>
            <w:tcW w:type="dxa" w:w="2700"/>
            <w:tcBorders>
              <w:top w:val="none"/>
              <w:left w:val="none"/>
              <w:bottom w:val="single" w:color="C9A84C" w:sz="4"/>
              <w:right w:val="none"/>
            </w:tcBorders>
            <w:shd w:fill="1A3A5C" w:val="clear"/>
          </w:tcPr>
          <w:p>
            <w:pPr>
              <w:spacing w:after="60" w:before="60"/>
              <w:jc w:val="left"/>
            </w:pPr>
            <w:r>
              <w:rPr>
                <w:b/>
                <w:bCs/>
                <w:color w:val="FFFFFF"/>
                <w:sz w:val="18"/>
                <w:szCs w:val="18"/>
              </w:rPr>
              <w:t xml:space="preserve">Column</w:t>
            </w:r>
          </w:p>
        </w:tc>
        <w:tc>
          <w:tcPr>
            <w:tcW w:type="dxa" w:w="1600"/>
            <w:tcBorders>
              <w:top w:val="none"/>
              <w:left w:val="none"/>
              <w:bottom w:val="single" w:color="C9A84C" w:sz="4"/>
              <w:right w:val="none"/>
            </w:tcBorders>
            <w:shd w:fill="1A3A5C" w:val="clear"/>
          </w:tcPr>
          <w:p>
            <w:pPr>
              <w:spacing w:after="60" w:before="60"/>
              <w:jc w:val="left"/>
            </w:pPr>
            <w:r>
              <w:rPr>
                <w:b/>
                <w:bCs/>
                <w:color w:val="FFFFFF"/>
                <w:sz w:val="18"/>
                <w:szCs w:val="18"/>
              </w:rPr>
              <w:t xml:space="preserve">Type</w:t>
            </w:r>
          </w:p>
        </w:tc>
        <w:tc>
          <w:tcPr>
            <w:tcW w:type="dxa" w:w="5900"/>
            <w:tcBorders>
              <w:top w:val="none"/>
              <w:left w:val="none"/>
              <w:bottom w:val="single" w:color="C9A84C" w:sz="4"/>
              <w:right w:val="none"/>
            </w:tcBorders>
            <w:shd w:fill="1A3A5C" w:val="clear"/>
          </w:tcPr>
          <w:p>
            <w:pPr>
              <w:spacing w:after="60" w:before="60"/>
              <w:jc w:val="left"/>
            </w:pPr>
            <w:r>
              <w:rPr>
                <w:b/>
                <w:bCs/>
                <w:color w:val="FFFFFF"/>
                <w:sz w:val="18"/>
                <w:szCs w:val="18"/>
              </w:rPr>
              <w:t xml:space="preserve">Description</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bedrooms</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Decimal</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Number of bedrooms. Studios appear as 0.</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bathrooms</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Decimal</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Number of bathrooms.</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area_value</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Decimal</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Floor area of the unit (see area_unit for the unit).</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area_unit</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Text</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Unit for area_value — always "sqm" (square meters) in this dataset.</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furnished</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Text</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Furnishing status as listed: Furnished, Unfurnished, or Semi-Furnished.</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is_furnished_binary</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Whole Number</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Binary version of furnished: 1 = Furnished, 0 = Unfurnished or Semi-Furnished. Useful for modelling.</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total_rooms</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Decimal</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Derived: bedrooms + bathrooms.</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area_flag</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Whole Number</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1 if the unit is considered large (above a size threshold), 0 otherwise. Computed during feature engineering.</w:t>
            </w:r>
          </w:p>
        </w:tc>
      </w:tr>
    </w:tbl>
    <w:p>
      <w:pPr>
        <w:pStyle w:val="Heading2"/>
        <w:spacing w:after="80" w:before="320"/>
        <w:rPr>
          <w:b/>
          <w:bCs/>
          <w:color w:val="1A3A5C"/>
          <w:sz w:val="24"/>
          <w:szCs w:val="24"/>
        </w:rPr>
      </w:pPr>
      <w:r>
        <w:t xml:space="preserve">6. Listing Quality Flags</w:t>
      </w:r>
    </w:p>
    <w:p>
      <w:pPr>
        <w:spacing w:after="60" w:before="60"/>
      </w:pPr>
      <w:r>
        <w:rPr>
          <w:color w:val="222222"/>
          <w:sz w:val="20"/>
          <w:szCs w:val="20"/>
        </w:rPr>
        <w:t xml:space="preserve">These Boolean columns come from the platform itself and reflect whether the agent paid for promotional placement or the listing was verified. They are useful for filtering high-confidence listings.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5900"/>
      </w:tblGrid>
      <w:tr>
        <w:trPr>
          <w:tblHeader/>
        </w:trPr>
        <w:tc>
          <w:tcPr>
            <w:tcW w:type="dxa" w:w="2700"/>
            <w:tcBorders>
              <w:top w:val="none"/>
              <w:left w:val="none"/>
              <w:bottom w:val="single" w:color="C9A84C" w:sz="4"/>
              <w:right w:val="none"/>
            </w:tcBorders>
            <w:shd w:fill="1A3A5C" w:val="clear"/>
          </w:tcPr>
          <w:p>
            <w:pPr>
              <w:spacing w:after="60" w:before="60"/>
              <w:jc w:val="left"/>
            </w:pPr>
            <w:r>
              <w:rPr>
                <w:b/>
                <w:bCs/>
                <w:color w:val="FFFFFF"/>
                <w:sz w:val="18"/>
                <w:szCs w:val="18"/>
              </w:rPr>
              <w:t xml:space="preserve">Column</w:t>
            </w:r>
          </w:p>
        </w:tc>
        <w:tc>
          <w:tcPr>
            <w:tcW w:type="dxa" w:w="1600"/>
            <w:tcBorders>
              <w:top w:val="none"/>
              <w:left w:val="none"/>
              <w:bottom w:val="single" w:color="C9A84C" w:sz="4"/>
              <w:right w:val="none"/>
            </w:tcBorders>
            <w:shd w:fill="1A3A5C" w:val="clear"/>
          </w:tcPr>
          <w:p>
            <w:pPr>
              <w:spacing w:after="60" w:before="60"/>
              <w:jc w:val="left"/>
            </w:pPr>
            <w:r>
              <w:rPr>
                <w:b/>
                <w:bCs/>
                <w:color w:val="FFFFFF"/>
                <w:sz w:val="18"/>
                <w:szCs w:val="18"/>
              </w:rPr>
              <w:t xml:space="preserve">Type</w:t>
            </w:r>
          </w:p>
        </w:tc>
        <w:tc>
          <w:tcPr>
            <w:tcW w:type="dxa" w:w="5900"/>
            <w:tcBorders>
              <w:top w:val="none"/>
              <w:left w:val="none"/>
              <w:bottom w:val="single" w:color="C9A84C" w:sz="4"/>
              <w:right w:val="none"/>
            </w:tcBorders>
            <w:shd w:fill="1A3A5C" w:val="clear"/>
          </w:tcPr>
          <w:p>
            <w:pPr>
              <w:spacing w:after="60" w:before="60"/>
              <w:jc w:val="left"/>
            </w:pPr>
            <w:r>
              <w:rPr>
                <w:b/>
                <w:bCs/>
                <w:color w:val="FFFFFF"/>
                <w:sz w:val="18"/>
                <w:szCs w:val="18"/>
              </w:rPr>
              <w:t xml:space="preserve">Description</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listing_level</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Text</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Platform tier of the listing — typically "standard".</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is_premium</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Boolean</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True if the listing has paid for a premium slot on the platform.</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is_verified</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Boolean</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True if the listing has been verified by the platform.</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is_featured</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Boolean</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True if the listing is featured/promoted.</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is_new_construction</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Boolean</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True if the property is newly built.</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is_direct_from_dev</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Boolean</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True if the seller is the original developer (not a broker).</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is_exclusive</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Boolean</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True if the listing is exclusively listed with one agency.</w:t>
            </w:r>
          </w:p>
        </w:tc>
      </w:tr>
    </w:tbl>
    <w:p>
      <w:pPr>
        <w:pStyle w:val="Heading2"/>
        <w:spacing w:after="80" w:before="320"/>
        <w:rPr>
          <w:b/>
          <w:bCs/>
          <w:color w:val="1A3A5C"/>
          <w:sz w:val="24"/>
          <w:szCs w:val="24"/>
        </w:rPr>
      </w:pPr>
      <w:r>
        <w:t xml:space="preserve">7. Listing Metadata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5900"/>
      </w:tblGrid>
      <w:tr>
        <w:trPr>
          <w:tblHeader/>
        </w:trPr>
        <w:tc>
          <w:tcPr>
            <w:tcW w:type="dxa" w:w="2700"/>
            <w:tcBorders>
              <w:top w:val="none"/>
              <w:left w:val="none"/>
              <w:bottom w:val="single" w:color="C9A84C" w:sz="4"/>
              <w:right w:val="none"/>
            </w:tcBorders>
            <w:shd w:fill="1A3A5C" w:val="clear"/>
          </w:tcPr>
          <w:p>
            <w:pPr>
              <w:spacing w:after="60" w:before="60"/>
              <w:jc w:val="left"/>
            </w:pPr>
            <w:r>
              <w:rPr>
                <w:b/>
                <w:bCs/>
                <w:color w:val="FFFFFF"/>
                <w:sz w:val="18"/>
                <w:szCs w:val="18"/>
              </w:rPr>
              <w:t xml:space="preserve">Column</w:t>
            </w:r>
          </w:p>
        </w:tc>
        <w:tc>
          <w:tcPr>
            <w:tcW w:type="dxa" w:w="1600"/>
            <w:tcBorders>
              <w:top w:val="none"/>
              <w:left w:val="none"/>
              <w:bottom w:val="single" w:color="C9A84C" w:sz="4"/>
              <w:right w:val="none"/>
            </w:tcBorders>
            <w:shd w:fill="1A3A5C" w:val="clear"/>
          </w:tcPr>
          <w:p>
            <w:pPr>
              <w:spacing w:after="60" w:before="60"/>
              <w:jc w:val="left"/>
            </w:pPr>
            <w:r>
              <w:rPr>
                <w:b/>
                <w:bCs/>
                <w:color w:val="FFFFFF"/>
                <w:sz w:val="18"/>
                <w:szCs w:val="18"/>
              </w:rPr>
              <w:t xml:space="preserve">Type</w:t>
            </w:r>
          </w:p>
        </w:tc>
        <w:tc>
          <w:tcPr>
            <w:tcW w:type="dxa" w:w="5900"/>
            <w:tcBorders>
              <w:top w:val="none"/>
              <w:left w:val="none"/>
              <w:bottom w:val="single" w:color="C9A84C" w:sz="4"/>
              <w:right w:val="none"/>
            </w:tcBorders>
            <w:shd w:fill="1A3A5C" w:val="clear"/>
          </w:tcPr>
          <w:p>
            <w:pPr>
              <w:spacing w:after="60" w:before="60"/>
              <w:jc w:val="left"/>
            </w:pPr>
            <w:r>
              <w:rPr>
                <w:b/>
                <w:bCs/>
                <w:color w:val="FFFFFF"/>
                <w:sz w:val="18"/>
                <w:szCs w:val="18"/>
              </w:rPr>
              <w:t xml:space="preserve">Description</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listed_date</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Date</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Date the listing was first published (YYYY-MM-DD).</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listed_date_original</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Date/Time</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Original scraped timestamp of the listing date.</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scraped_at</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Date/Time</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Timestamp when the record was collected by the scraper (UTC).</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images_count</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Whole Number</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Number of photos attached to the listing.</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has_view_360</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Boolean</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True if the listing includes a 360-degree virtual tour.</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description</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Text</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Free-text listing description as written by the agent.</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amenities</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Text</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Pipe-separated list of amenity names as scraped (e.g. "Balcony | Security | Shared Pool").</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payment_method</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Text</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Payment or financing terms mentioned by the agent. Often empty.</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amenity_count</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Whole Number</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Derived: total count of amenities listed for this unit.</w:t>
            </w:r>
          </w:p>
        </w:tc>
      </w:tr>
    </w:tbl>
    <w:p>
      <w:pPr>
        <w:pStyle w:val="Heading2"/>
        <w:spacing w:after="80" w:before="320"/>
        <w:rPr>
          <w:b/>
          <w:bCs/>
          <w:color w:val="1A3A5C"/>
          <w:sz w:val="24"/>
          <w:szCs w:val="24"/>
        </w:rPr>
      </w:pPr>
      <w:r>
        <w:t xml:space="preserve">8. Agent &amp; Broker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5900"/>
      </w:tblGrid>
      <w:tr>
        <w:trPr>
          <w:tblHeader/>
        </w:trPr>
        <w:tc>
          <w:tcPr>
            <w:tcW w:type="dxa" w:w="2700"/>
            <w:tcBorders>
              <w:top w:val="none"/>
              <w:left w:val="none"/>
              <w:bottom w:val="single" w:color="C9A84C" w:sz="4"/>
              <w:right w:val="none"/>
            </w:tcBorders>
            <w:shd w:fill="1A3A5C" w:val="clear"/>
          </w:tcPr>
          <w:p>
            <w:pPr>
              <w:spacing w:after="60" w:before="60"/>
              <w:jc w:val="left"/>
            </w:pPr>
            <w:r>
              <w:rPr>
                <w:b/>
                <w:bCs/>
                <w:color w:val="FFFFFF"/>
                <w:sz w:val="18"/>
                <w:szCs w:val="18"/>
              </w:rPr>
              <w:t xml:space="preserve">Column</w:t>
            </w:r>
          </w:p>
        </w:tc>
        <w:tc>
          <w:tcPr>
            <w:tcW w:type="dxa" w:w="1600"/>
            <w:tcBorders>
              <w:top w:val="none"/>
              <w:left w:val="none"/>
              <w:bottom w:val="single" w:color="C9A84C" w:sz="4"/>
              <w:right w:val="none"/>
            </w:tcBorders>
            <w:shd w:fill="1A3A5C" w:val="clear"/>
          </w:tcPr>
          <w:p>
            <w:pPr>
              <w:spacing w:after="60" w:before="60"/>
              <w:jc w:val="left"/>
            </w:pPr>
            <w:r>
              <w:rPr>
                <w:b/>
                <w:bCs/>
                <w:color w:val="FFFFFF"/>
                <w:sz w:val="18"/>
                <w:szCs w:val="18"/>
              </w:rPr>
              <w:t xml:space="preserve">Type</w:t>
            </w:r>
          </w:p>
        </w:tc>
        <w:tc>
          <w:tcPr>
            <w:tcW w:type="dxa" w:w="5900"/>
            <w:tcBorders>
              <w:top w:val="none"/>
              <w:left w:val="none"/>
              <w:bottom w:val="single" w:color="C9A84C" w:sz="4"/>
              <w:right w:val="none"/>
            </w:tcBorders>
            <w:shd w:fill="1A3A5C" w:val="clear"/>
          </w:tcPr>
          <w:p>
            <w:pPr>
              <w:spacing w:after="60" w:before="60"/>
              <w:jc w:val="left"/>
            </w:pPr>
            <w:r>
              <w:rPr>
                <w:b/>
                <w:bCs/>
                <w:color w:val="FFFFFF"/>
                <w:sz w:val="18"/>
                <w:szCs w:val="18"/>
              </w:rPr>
              <w:t xml:space="preserve">Description</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agent_id</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Decimal</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Internal numeric ID of the listing agent.</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agent_name</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Text</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Full name of the individual agent who posted the listing.</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agent_is_super</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Boolean</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True if the agent holds a "super agent" status on the platform.</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broker_name</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Text</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Name of the real estate agency or brokerage the agent belongs to.</w:t>
            </w:r>
          </w:p>
        </w:tc>
      </w:tr>
    </w:tbl>
    <w:p>
      <w:pPr>
        <w:pStyle w:val="Heading2"/>
        <w:spacing w:after="80" w:before="320"/>
        <w:rPr>
          <w:b/>
          <w:bCs/>
          <w:color w:val="1A3A5C"/>
          <w:sz w:val="24"/>
          <w:szCs w:val="24"/>
        </w:rPr>
      </w:pPr>
      <w:r>
        <w:t xml:space="preserve">9. Derived Date Columns</w:t>
      </w:r>
    </w:p>
    <w:p>
      <w:pPr>
        <w:spacing w:after="60" w:before="60"/>
      </w:pPr>
      <w:r>
        <w:rPr>
          <w:color w:val="222222"/>
          <w:sz w:val="20"/>
          <w:szCs w:val="20"/>
        </w:rPr>
        <w:t xml:space="preserve">These columns are pre-extracted from listed_date to make time-based analysis easier without needing date functions.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5900"/>
      </w:tblGrid>
      <w:tr>
        <w:trPr>
          <w:tblHeader/>
        </w:trPr>
        <w:tc>
          <w:tcPr>
            <w:tcW w:type="dxa" w:w="2700"/>
            <w:tcBorders>
              <w:top w:val="none"/>
              <w:left w:val="none"/>
              <w:bottom w:val="single" w:color="C9A84C" w:sz="4"/>
              <w:right w:val="none"/>
            </w:tcBorders>
            <w:shd w:fill="1A3A5C" w:val="clear"/>
          </w:tcPr>
          <w:p>
            <w:pPr>
              <w:spacing w:after="60" w:before="60"/>
              <w:jc w:val="left"/>
            </w:pPr>
            <w:r>
              <w:rPr>
                <w:b/>
                <w:bCs/>
                <w:color w:val="FFFFFF"/>
                <w:sz w:val="18"/>
                <w:szCs w:val="18"/>
              </w:rPr>
              <w:t xml:space="preserve">Column</w:t>
            </w:r>
          </w:p>
        </w:tc>
        <w:tc>
          <w:tcPr>
            <w:tcW w:type="dxa" w:w="1600"/>
            <w:tcBorders>
              <w:top w:val="none"/>
              <w:left w:val="none"/>
              <w:bottom w:val="single" w:color="C9A84C" w:sz="4"/>
              <w:right w:val="none"/>
            </w:tcBorders>
            <w:shd w:fill="1A3A5C" w:val="clear"/>
          </w:tcPr>
          <w:p>
            <w:pPr>
              <w:spacing w:after="60" w:before="60"/>
              <w:jc w:val="left"/>
            </w:pPr>
            <w:r>
              <w:rPr>
                <w:b/>
                <w:bCs/>
                <w:color w:val="FFFFFF"/>
                <w:sz w:val="18"/>
                <w:szCs w:val="18"/>
              </w:rPr>
              <w:t xml:space="preserve">Type</w:t>
            </w:r>
          </w:p>
        </w:tc>
        <w:tc>
          <w:tcPr>
            <w:tcW w:type="dxa" w:w="5900"/>
            <w:tcBorders>
              <w:top w:val="none"/>
              <w:left w:val="none"/>
              <w:bottom w:val="single" w:color="C9A84C" w:sz="4"/>
              <w:right w:val="none"/>
            </w:tcBorders>
            <w:shd w:fill="1A3A5C" w:val="clear"/>
          </w:tcPr>
          <w:p>
            <w:pPr>
              <w:spacing w:after="60" w:before="60"/>
              <w:jc w:val="left"/>
            </w:pPr>
            <w:r>
              <w:rPr>
                <w:b/>
                <w:bCs/>
                <w:color w:val="FFFFFF"/>
                <w:sz w:val="18"/>
                <w:szCs w:val="18"/>
              </w:rPr>
              <w:t xml:space="preserve">Description</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year</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Whole Number</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Year extracted from listed_date.</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month</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Whole Number</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Month number (1–12) extracted from listed_date.</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week</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Whole Number</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ISO week number extracted from listed_date.</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day_of_week</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Text</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Day name extracted from listed_date (e.g. Monday, Thursday).</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days_since_listed</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Decimal</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Days elapsed from listed_date to the scrape date. Measures how long the listing has been active.</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listing_age_days</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Decimal</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Alternative calculation of how old the listing is, based on listed_date_original. May differ slightly from days_since_listed due to timestamp rounding.</w:t>
            </w:r>
          </w:p>
        </w:tc>
      </w:tr>
    </w:tbl>
    <w:p>
      <w:pPr>
        <w:pStyle w:val="Heading2"/>
        <w:spacing w:after="80" w:before="320"/>
        <w:rPr>
          <w:b/>
          <w:bCs/>
          <w:color w:val="1A3A5C"/>
          <w:sz w:val="24"/>
          <w:szCs w:val="24"/>
        </w:rPr>
      </w:pPr>
      <w:r>
        <w:t xml:space="preserve">10. Amenity Binary Flags</w:t>
      </w:r>
    </w:p>
    <w:p>
      <w:pPr>
        <w:spacing w:after="60" w:before="60"/>
      </w:pPr>
      <w:r>
        <w:rPr>
          <w:color w:val="222222"/>
          <w:sz w:val="20"/>
          <w:szCs w:val="20"/>
        </w:rPr>
        <w:t xml:space="preserve">Each amen_* column is a binary indicator (1 = present, 0 = absent) extracted from the amenities text field. These are also available as a separate file: egypt_re_amenities_binary.csv, joined to the main table on listing_id.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5900"/>
      </w:tblGrid>
      <w:tr>
        <w:trPr>
          <w:tblHeader/>
        </w:trPr>
        <w:tc>
          <w:tcPr>
            <w:tcW w:type="dxa" w:w="2700"/>
            <w:tcBorders>
              <w:top w:val="none"/>
              <w:left w:val="none"/>
              <w:bottom w:val="single" w:color="C9A84C" w:sz="4"/>
              <w:right w:val="none"/>
            </w:tcBorders>
            <w:shd w:fill="1A3A5C" w:val="clear"/>
          </w:tcPr>
          <w:p>
            <w:pPr>
              <w:spacing w:after="60" w:before="60"/>
              <w:jc w:val="left"/>
            </w:pPr>
            <w:r>
              <w:rPr>
                <w:b/>
                <w:bCs/>
                <w:color w:val="FFFFFF"/>
                <w:sz w:val="18"/>
                <w:szCs w:val="18"/>
              </w:rPr>
              <w:t xml:space="preserve">Column</w:t>
            </w:r>
          </w:p>
        </w:tc>
        <w:tc>
          <w:tcPr>
            <w:tcW w:type="dxa" w:w="1600"/>
            <w:tcBorders>
              <w:top w:val="none"/>
              <w:left w:val="none"/>
              <w:bottom w:val="single" w:color="C9A84C" w:sz="4"/>
              <w:right w:val="none"/>
            </w:tcBorders>
            <w:shd w:fill="1A3A5C" w:val="clear"/>
          </w:tcPr>
          <w:p>
            <w:pPr>
              <w:spacing w:after="60" w:before="60"/>
              <w:jc w:val="left"/>
            </w:pPr>
            <w:r>
              <w:rPr>
                <w:b/>
                <w:bCs/>
                <w:color w:val="FFFFFF"/>
                <w:sz w:val="18"/>
                <w:szCs w:val="18"/>
              </w:rPr>
              <w:t xml:space="preserve">Type</w:t>
            </w:r>
          </w:p>
        </w:tc>
        <w:tc>
          <w:tcPr>
            <w:tcW w:type="dxa" w:w="5900"/>
            <w:tcBorders>
              <w:top w:val="none"/>
              <w:left w:val="none"/>
              <w:bottom w:val="single" w:color="C9A84C" w:sz="4"/>
              <w:right w:val="none"/>
            </w:tcBorders>
            <w:shd w:fill="1A3A5C" w:val="clear"/>
          </w:tcPr>
          <w:p>
            <w:pPr>
              <w:spacing w:after="60" w:before="60"/>
              <w:jc w:val="left"/>
            </w:pPr>
            <w:r>
              <w:rPr>
                <w:b/>
                <w:bCs/>
                <w:color w:val="FFFFFF"/>
                <w:sz w:val="18"/>
                <w:szCs w:val="18"/>
              </w:rPr>
              <w:t xml:space="preserve">Description</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amen_balcony</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Whole Number</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1 if the listing includes a Balcony, else 0.</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amen_security</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Whole Number</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1 if the compound has Security / guarding, else 0.</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amen_covered_parking</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Whole Number</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1 if Covered Parking is available, else 0.</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amen_view_of_landmark</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Whole Number</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1 if the unit has a View of a Landmark, else 0.</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amen_shared_gym</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Whole Number</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1 if a Shared Gym is available in the compound, else 0.</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amen_lobby_in_building</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Whole Number</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1 if the building has a Lobby, else 0.</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amen_central_a_c</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Whole Number</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1 if Central Air Conditioning is included, else 0.</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amen_kitchen_appliances</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Whole Number</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1 if Kitchen Appliances are included, else 0.</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amen_built_in_wardrobes</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Whole Number</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1 if Built-in Wardrobes are included, else 0.</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amen_shared_spa</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Whole Number</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1 if a Shared Spa is available in the compound, else 0.</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amen_shared_pool</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Whole Number</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1 if a Shared Swimming Pool is available, else 0.</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amen_walk_in_closet</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Whole Number</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1 if the unit includes a Walk-in Closet, else 0.</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amen_study</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Whole Number</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1 if the unit includes a Study / home office room, else 0.</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amen_children_s_pool</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Whole Number</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1 if a Children's Pool is available in the compound, else 0.</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amen_view_of_water</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Whole Number</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1 if the unit has a View of Water (lake, river, pool), else 0.</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amen_private_garden</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Whole Number</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1 if the unit has a Private Garden, else 0.</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amen_maids_room</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Whole Number</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1 if the unit includes a Maid's / Driver's Room, else 0.</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amen_private_pool</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Whole Number</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1 if the unit has its own Private Pool, else 0.</w:t>
            </w:r>
          </w:p>
        </w:tc>
      </w:tr>
      <w:tr>
        <w:tc>
          <w:tcPr>
            <w:tcW w:type="dxa" w:w="2700"/>
            <w:tcBorders>
              <w:top w:val="none"/>
              <w:left w:val="none"/>
              <w:bottom w:val="single" w:color="DDDDDD" w:sz="1"/>
              <w:right w:val="none"/>
            </w:tcBorders>
            <w:shd w:fill="FFFFFF" w:val="clear"/>
          </w:tcPr>
          <w:p>
            <w:pPr>
              <w:spacing w:after="50" w:before="50"/>
            </w:pPr>
            <w:r>
              <w:rPr>
                <w:b/>
                <w:bCs/>
                <w:color w:val="222222"/>
                <w:sz w:val="18"/>
                <w:szCs w:val="18"/>
              </w:rPr>
              <w:t xml:space="preserve">amen_networked</w:t>
            </w:r>
          </w:p>
        </w:tc>
        <w:tc>
          <w:tcPr>
            <w:tcW w:type="dxa" w:w="16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Whole Number</w:t>
            </w:r>
          </w:p>
        </w:tc>
        <w:tc>
          <w:tcPr>
            <w:tcW w:type="dxa" w:w="5900"/>
            <w:tcBorders>
              <w:top w:val="none"/>
              <w:left w:val="none"/>
              <w:bottom w:val="single" w:color="DDDDDD" w:sz="1"/>
              <w:right w:val="none"/>
            </w:tcBorders>
            <w:shd w:fill="FFFFFF" w:val="clear"/>
          </w:tcPr>
          <w:p>
            <w:pPr>
              <w:spacing w:after="50" w:before="50"/>
            </w:pPr>
            <w:r>
              <w:rPr>
                <w:b w:val="false"/>
                <w:bCs w:val="false"/>
                <w:color w:val="222222"/>
                <w:sz w:val="18"/>
                <w:szCs w:val="18"/>
              </w:rPr>
              <w:t xml:space="preserve">1 if the unit has a structured network / smart home wiring, else 0.</w:t>
            </w:r>
          </w:p>
        </w:tc>
      </w:tr>
      <w:tr>
        <w:tc>
          <w:tcPr>
            <w:tcW w:type="dxa" w:w="2700"/>
            <w:tcBorders>
              <w:top w:val="none"/>
              <w:left w:val="none"/>
              <w:bottom w:val="single" w:color="DDDDDD" w:sz="1"/>
              <w:right w:val="none"/>
            </w:tcBorders>
            <w:shd w:fill="F5F8FC" w:val="clear"/>
          </w:tcPr>
          <w:p>
            <w:pPr>
              <w:spacing w:after="50" w:before="50"/>
            </w:pPr>
            <w:r>
              <w:rPr>
                <w:b/>
                <w:bCs/>
                <w:color w:val="222222"/>
                <w:sz w:val="18"/>
                <w:szCs w:val="18"/>
              </w:rPr>
              <w:t xml:space="preserve">amen_dining_in_building</w:t>
            </w:r>
          </w:p>
        </w:tc>
        <w:tc>
          <w:tcPr>
            <w:tcW w:type="dxa" w:w="16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Whole Number</w:t>
            </w:r>
          </w:p>
        </w:tc>
        <w:tc>
          <w:tcPr>
            <w:tcW w:type="dxa" w:w="5900"/>
            <w:tcBorders>
              <w:top w:val="none"/>
              <w:left w:val="none"/>
              <w:bottom w:val="single" w:color="DDDDDD" w:sz="1"/>
              <w:right w:val="none"/>
            </w:tcBorders>
            <w:shd w:fill="F5F8FC" w:val="clear"/>
          </w:tcPr>
          <w:p>
            <w:pPr>
              <w:spacing w:after="50" w:before="50"/>
            </w:pPr>
            <w:r>
              <w:rPr>
                <w:b w:val="false"/>
                <w:bCs w:val="false"/>
                <w:color w:val="222222"/>
                <w:sz w:val="18"/>
                <w:szCs w:val="18"/>
              </w:rPr>
              <w:t xml:space="preserve">1 if there is Dining / restaurant within the building, else 0.</w:t>
            </w:r>
          </w:p>
        </w:tc>
      </w:tr>
    </w:tbl>
    <w:p>
      <w:pPr>
        <w:pStyle w:val="Heading2"/>
        <w:spacing w:after="80" w:before="320"/>
        <w:rPr>
          <w:b/>
          <w:bCs/>
          <w:color w:val="1A3A5C"/>
          <w:sz w:val="24"/>
          <w:szCs w:val="24"/>
        </w:rPr>
      </w:pPr>
      <w:r>
        <w:t xml:space="preserve">Notes</w:t>
      </w:r>
    </w:p>
    <w:p>
      <w:pPr>
        <w:spacing w:after="60" w:before="60"/>
      </w:pPr>
      <w:r>
        <w:rPr>
          <w:color w:val="222222"/>
          <w:sz w:val="20"/>
          <w:szCs w:val="20"/>
        </w:rPr>
        <w:t xml:space="preserve">Null values: days_since_listed and listing_age_days may be null for listings scraped on the same day they were published. area_value is always in square meters. price_per_sqm is pre-computed — do not divide price_egp by area_value yourself as it may differ due to rounding.</w:t>
      </w:r>
    </w:p>
    <w:p>
      <w:pPr>
        <w:spacing w:after="60" w:before="60"/>
      </w:pPr>
      <w:r>
        <w:rPr>
          <w:color w:val="222222"/>
          <w:sz w:val="20"/>
          <w:szCs w:val="20"/>
        </w:rPr>
        <w:t xml:space="preserve">Joining tables: use listing_id as the join key between egypt_re_clean.csv and egypt_re_amenities_binary.csv. The join is one-to-one (each listing_id appears once in each file).</w:t>
      </w:r>
    </w:p>
    <w:p>
      <w:pPr>
        <w:spacing w:after="60" w:before="60"/>
      </w:pPr>
      <w:r>
        <w:rPr>
          <w:color w:val="222222"/>
          <w:sz w:val="20"/>
          <w:szCs w:val="20"/>
        </w:rPr>
        <w:t xml:space="preserve">Coordinate precision: lat and lon are truncated to approximately 5 decimal places, which is accurate to within about 1 meter. They represent the compound centroid, not the individual unit.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2026-08-01T10:04:33.248Z</dcterms:created>
  <dcterms:modified xsi:type="dcterms:W3CDTF">2026-08-01T10:04:33.273Z</dcterms:modified>
</cp:coreProperties>
</file>

<file path=docProps/custom.xml><?xml version="1.0" encoding="utf-8"?>
<Properties xmlns="http://schemas.openxmlformats.org/officeDocument/2006/custom-properties" xmlns:vt="http://schemas.openxmlformats.org/officeDocument/2006/docPropsVTypes"/>
</file>