
<file path=[Content_Types].xml><?xml version="1.0" encoding="utf-8"?>
<Types xmlns="http://schemas.openxmlformats.org/package/2006/content-types">
  <Default ContentType="application/vnd.openxmlformats-officedocument.obfuscatedFont" Extension="odttf"/>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a="http://schemas.openxmlformats.org/drawingml/2006/main" xmlns:r="http://schemas.openxmlformats.org/officeDocument/2006/relationships">
  <w:body>
    <w:p>
      <w:pPr>
        <w:spacing w:after="120" w:before="120"/>
        <w:jc w:val="center"/>
      </w:pPr>
      <w:r>
        <w:drawing>
          <wp:anchor simplePos="false" relativeHeight="0" behindDoc="false" locked="false" layoutInCell="true" allowOverlap="true">
            <wp:simplePos x="0" y="0"/>
            <wp:positionH relativeFrom="page">
              <wp:posOffset>0</wp:posOffset>
            </wp:positionH>
            <wp:positionV relativeFrom="page">
              <wp:posOffset>0</wp:posOffset>
            </wp:positionV>
            <wp:extent cx="7562850" cy="2268855"/>
            <wp:wrapTopAndBottom/>
            <wp:docPr id="0" name="Drawing 0" descr="12f4a5e01-f617-4990-9b9b-2bf27bda2a4e.png"/>
            <wp:cNvGraphicFramePr>
              <a:graphicFrameLocks noChangeAspect="true"/>
            </wp:cNvGraphicFramePr>
            <a:graphic>
              <a:graphicData uri="http://schemas.openxmlformats.org/drawingml/2006/picture">
                <pic:pic xmlns:pic="http://schemas.openxmlformats.org/drawingml/2006/picture">
                  <pic:nvPicPr>
                    <pic:cNvPr id="0" name="Picture 0" descr="12f4a5e01-f617-4990-9b9b-2bf27bda2a4e.png"/>
                    <pic:cNvPicPr>
                      <a:picLocks noChangeAspect="true"/>
                    </pic:cNvPicPr>
                  </pic:nvPicPr>
                  <pic:blipFill>
                    <a:blip r:embed="rId3"/>
                    <a:stretch>
                      <a:fillRect/>
                    </a:stretch>
                  </pic:blipFill>
                  <pic:spPr>
                    <a:xfrm>
                      <a:off x="0" y="0"/>
                      <a:ext cx="7562850" cy="2268855"/>
                    </a:xfrm>
                    <a:prstGeom prst="rect">
                      <a:avLst/>
                    </a:prstGeom>
                  </pic:spPr>
                </pic:pic>
              </a:graphicData>
            </a:graphic>
          </wp:anchor>
        </w:drawing>
      </w:r>
    </w:p>
    <w:p>
      <w:pPr>
        <w:spacing w:after="120" w:before="120" w:line="336" w:lineRule="auto"/>
        <w:ind w:firstLine="0" w:start="0"/>
        <w:jc w:val="start"/>
      </w:pPr>
      <w:r>
        <w:rPr>
          <w:rFonts w:ascii="Arimo Bold" w:hAnsi="Arimo Bold" w:cs="Arimo Bold" w:eastAsia="Arimo Bold"/>
          <w:b/>
          <w:bCs/>
          <w:color w:val="cc7a00"/>
          <w:sz w:val="42"/>
          <w:szCs w:val="42"/>
        </w:rPr>
        <w:t xml:space="preserve">Executive Summary
</w:t>
      </w:r>
    </w:p>
    <w:p>
      <w:pPr>
        <w:spacing w:after="120" w:before="120" w:line="336" w:lineRule="auto"/>
        <w:ind w:firstLine="0" w:start="0"/>
        <w:jc w:val="start"/>
      </w:pPr>
      <w:r>
        <w:rPr>
          <w:rFonts w:ascii="Arimo" w:hAnsi="Arimo" w:cs="Arimo" w:eastAsia="Arimo"/>
          <w:color w:val="000000"/>
          <w:sz w:val="24"/>
          <w:szCs w:val="24"/>
        </w:rPr>
        <w:t xml:space="preserve">This report synthesizes key insights from interactive dashboards built using Power BI and Tableau, drawing upon scraped listing data from  and . The analysis covers the Egyptian real estate market as of August 2026, providing a comprehensive overview of market dynamics, pricing trends, location intelligence, property specifications, and temporal patterns.
</w:t>
      </w:r>
    </w:p>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9030"/>
      </w:tblGrid>
      <w:tr>
        <w:tc>
          <w:tcPr>
            <w:tcW w:w="9030" w:type="dxa"/>
            <w:shd w:val="clear" w:color="auto" w:fill="000000"/>
            <w:tcMar>
              <w:top w:w="0"/>
              <w:start w:w="0"/>
              <w:bottom w:w="0"/>
              <w:end w:w="0"/>
            </w:tcMar>
          </w:tcPr>
          <w:p>
            <w:pPr>
              <w:spacing w:after="120" w:before="120" w:line="336" w:lineRule="auto"/>
              <w:ind w:firstLine="0" w:start="0"/>
              <w:jc w:val="start"/>
            </w:pPr>
            <w:r>
              <w:rPr>
                <w:rFonts w:ascii="Bricolage Grotesque Bold" w:hAnsi="Bricolage Grotesque Bold" w:cs="Bricolage Grotesque Bold" w:eastAsia="Bricolage Grotesque Bold"/>
                <w:b/>
                <w:bCs/>
                <w:color w:val="ffffff"/>
                <w:sz w:val="40"/>
                <w:szCs w:val="40"/>
              </w:rPr>
              <w:t xml:space="preserve">PART 1 — POWER BI DASHBOARD INSIGHTS
</w:t>
            </w:r>
          </w:p>
        </w:tc>
      </w:tr>
    </w:tbl>
    <w:p>
      <w:pPr>
        <w:spacing w:after="120" w:before="120" w:line="336" w:lineRule="auto"/>
        <w:ind w:firstLine="0" w:start="0"/>
        <w:jc w:val="start"/>
      </w:pPr>
      <w:r>
        <w:rPr>
          <w:rFonts w:ascii="Arimo" w:hAnsi="Arimo" w:cs="Arimo" w:eastAsia="Arimo"/>
          <w:color w:val="000000"/>
          <w:sz w:val="24"/>
          <w:szCs w:val="24"/>
        </w:rPr>
        <w:t xml:space="preserve">The Power BI workbook delivers six interactive report pages built on a star-schema data model. Together they answer five strategic questions: What does the overall market look like? Where are prices highest? Which property features command premiums? Who are the top-performing agents? And how has the market moved over time?
</w:t>
      </w:r>
    </w:p>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9030"/>
      </w:tblGrid>
      <w:tr>
        <w:tc>
          <w:tcPr>
            <w:tcW w:w="9030" w:type="dxa"/>
            <w:shd w:val="clear" w:color="auto" w:fill="000000"/>
            <w:tcMar>
              <w:top w:w="0"/>
              <w:start w:w="0"/>
              <w:bottom w:w="0"/>
              <w:end w:w="0"/>
            </w:tcMar>
          </w:tcPr>
          <w:p>
            <w:pPr>
              <w:spacing w:after="120" w:before="120" w:line="336" w:lineRule="auto"/>
              <w:ind w:firstLine="0" w:start="0"/>
              <w:jc w:val="start"/>
            </w:pPr>
            <w:r>
              <w:rPr>
                <w:rFonts w:ascii="Bricolage Grotesque Bold" w:hAnsi="Bricolage Grotesque Bold" w:cs="Bricolage Grotesque Bold" w:eastAsia="Bricolage Grotesque Bold"/>
                <w:b/>
                <w:bCs/>
                <w:color w:val="ffffff"/>
                <w:sz w:val="40"/>
                <w:szCs w:val="40"/>
              </w:rPr>
              <w:t xml:space="preserve">1.1 Market Overview
</w:t>
            </w:r>
          </w:p>
        </w:tc>
      </w:tr>
    </w:tbl>
    <w:p>
      <w:pPr>
        <w:spacing w:after="120" w:before="120" w:line="336" w:lineRule="auto"/>
        <w:ind w:firstLine="0" w:start="0"/>
        <w:jc w:val="start"/>
      </w:pPr>
      <w:r>
        <w:rPr>
          <w:rFonts w:ascii="Arimo" w:hAnsi="Arimo" w:cs="Arimo" w:eastAsia="Arimo"/>
          <w:color w:val="000000"/>
          <w:sz w:val="24"/>
          <w:szCs w:val="24"/>
        </w:rPr>
        <w:t xml:space="preserve">The Market Overview page provides a top-level snapshot of the entire dataset through five KPI cards, a buy-vs-rent donut, listings-by-property-type and listings-by-city bar charts, and a price-band stacked bar per city.
</w:t>
      </w:r>
    </w:p>
    <w:p>
      <w:pPr>
        <w:spacing w:after="120" w:before="120" w:line="336" w:lineRule="auto"/>
        <w:ind w:firstLine="0" w:start="0"/>
        <w:jc w:val="start"/>
      </w:pPr>
      <w:r>
        <w:rPr>
          <w:rFonts w:ascii="Arimo Bold" w:hAnsi="Arimo Bold" w:cs="Arimo Bold" w:eastAsia="Arimo Bold"/>
          <w:b/>
          <w:bCs/>
          <w:color w:val="000000"/>
          <w:sz w:val="24"/>
          <w:szCs w:val="24"/>
        </w:rPr>
        <w:t>Key Insights — Market Overview</w:t>
      </w:r>
      <w:r>
        <w:rPr>
          <w:rFonts w:ascii="Arimo" w:hAnsi="Arimo" w:cs="Arimo" w:eastAsia="Arimo"/>
          <w:color w:val="000000"/>
          <w:sz w:val="24"/>
          <w:szCs w:val="24"/>
        </w:rPr>
        <w:t xml:space="preserve">
</w:t>
      </w:r>
    </w:p>
    <w:p>
      <w:pPr>
        <w:numPr>
          <w:ilvl w:val="0"/>
          <w:numId w:val="1"/>
        </w:numPr>
        <w:spacing w:after="0" w:before="0" w:line="336" w:lineRule="auto"/>
        <w:jc w:val="start"/>
      </w:pPr>
      <w:r>
        <w:rPr>
          <w:rFonts w:ascii="Arimo" w:hAnsi="Arimo" w:cs="Arimo" w:eastAsia="Arimo"/>
          <w:color w:val="000000"/>
          <w:sz w:val="24"/>
          <w:szCs w:val="24"/>
        </w:rPr>
        <w:t xml:space="preserve">Apartment listings dominate the Egyptian real estate market, followed by chalets and villas — understanding this composition is critical for segmented pricing analysis.
</w:t>
      </w:r>
    </w:p>
    <w:p>
      <w:pPr>
        <w:numPr>
          <w:ilvl w:val="0"/>
          <w:numId w:val="1"/>
        </w:numPr>
        <w:spacing w:after="0" w:before="0" w:line="336" w:lineRule="auto"/>
        <w:jc w:val="start"/>
      </w:pPr>
      <w:r>
        <w:rPr>
          <w:rFonts w:ascii="Arimo" w:hAnsi="Arimo" w:cs="Arimo" w:eastAsia="Arimo"/>
          <w:color w:val="000000"/>
          <w:sz w:val="24"/>
          <w:szCs w:val="24"/>
        </w:rPr>
        <w:t xml:space="preserve">Cairo and New Cairo consistently hold the largest share of total listings, indicating the most liquid sub-markets.
</w:t>
      </w:r>
    </w:p>
    <w:p>
      <w:pPr>
        <w:numPr>
          <w:ilvl w:val="0"/>
          <w:numId w:val="1"/>
        </w:numPr>
        <w:spacing w:after="0" w:before="0" w:line="336" w:lineRule="auto"/>
        <w:jc w:val="start"/>
      </w:pPr>
      <w:r>
        <w:rPr>
          <w:rFonts w:ascii="Arimo" w:hAnsi="Arimo" w:cs="Arimo" w:eastAsia="Arimo"/>
          <w:color w:val="000000"/>
          <w:sz w:val="24"/>
          <w:szCs w:val="24"/>
        </w:rPr>
        <w:t xml:space="preserve">The price-band stacked bar reveals that affordable (Under 5M EGP) inventory is geographically concentrated in second-tier cities, while premium (Above 15M EGP) supply clusters in New Cairo and Sheikh Zayed.
</w:t>
      </w:r>
    </w:p>
    <w:p>
      <w:pPr>
        <w:numPr>
          <w:ilvl w:val="0"/>
          <w:numId w:val="1"/>
        </w:numPr>
        <w:spacing w:after="0" w:before="0" w:line="336" w:lineRule="auto"/>
        <w:jc w:val="start"/>
      </w:pPr>
      <w:r>
        <w:rPr>
          <w:rFonts w:ascii="Arimo" w:hAnsi="Arimo" w:cs="Arimo" w:eastAsia="Arimo"/>
          <w:color w:val="000000"/>
          <w:sz w:val="24"/>
          <w:szCs w:val="24"/>
        </w:rPr>
        <w:t xml:space="preserve">Rental listings are a meaningful share of total inventory; cities with high rent-to-buy ratios are potential hotspots for buy-to-let investors.
</w:t>
      </w:r>
    </w:p>
    <w:p>
      <w:pPr>
        <w:numPr>
          <w:ilvl w:val="0"/>
          <w:numId w:val="1"/>
        </w:numPr>
        <w:spacing w:after="0" w:before="0" w:line="336" w:lineRule="auto"/>
        <w:jc w:val="start"/>
      </w:pPr>
      <w:r>
        <w:rPr>
          <w:rFonts w:ascii="Arimo" w:hAnsi="Arimo" w:cs="Arimo" w:eastAsia="Arimo"/>
          <w:color w:val="000000"/>
          <w:sz w:val="24"/>
          <w:szCs w:val="24"/>
        </w:rPr>
        <w:t xml:space="preserve">Use the city and property-type slicers together to isolate niche segments — e.g., furnished apartments for rent in Maadi — that the top-level KPIs would otherwise mask.
</w:t>
      </w:r>
    </w:p>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9030"/>
      </w:tblGrid>
      <w:tr>
        <w:tc>
          <w:tcPr>
            <w:tcW w:w="9030" w:type="dxa"/>
            <w:shd w:val="clear" w:color="auto" w:fill="000000"/>
            <w:tcMar>
              <w:top w:w="0"/>
              <w:start w:w="0"/>
              <w:bottom w:w="0"/>
              <w:end w:w="0"/>
            </w:tcMar>
          </w:tcPr>
          <w:p>
            <w:pPr>
              <w:spacing w:after="120" w:before="120" w:line="336" w:lineRule="auto"/>
              <w:ind w:firstLine="0" w:start="0"/>
              <w:jc w:val="start"/>
            </w:pPr>
            <w:r>
              <w:rPr>
                <w:rFonts w:ascii="Bricolage Grotesque Bold" w:hAnsi="Bricolage Grotesque Bold" w:cs="Bricolage Grotesque Bold" w:eastAsia="Bricolage Grotesque Bold"/>
                <w:b/>
                <w:bCs/>
                <w:color w:val="ffffff"/>
                <w:sz w:val="40"/>
                <w:szCs w:val="40"/>
              </w:rPr>
              <w:t xml:space="preserve">1.2 Location Intelligence
</w:t>
            </w:r>
          </w:p>
        </w:tc>
      </w:tr>
    </w:tbl>
    <w:p>
      <w:pPr>
        <w:spacing w:after="120" w:before="120" w:line="336" w:lineRule="auto"/>
        <w:ind w:firstLine="0" w:start="0"/>
        <w:jc w:val="start"/>
      </w:pPr>
      <w:r>
        <w:rPr>
          <w:rFonts w:ascii="Arimo" w:hAnsi="Arimo" w:cs="Arimo" w:eastAsia="Arimo"/>
          <w:color w:val="000000"/>
          <w:sz w:val="24"/>
          <w:szCs w:val="24"/>
        </w:rPr>
        <w:t xml:space="preserve">This page combines a bubble map (district-level price per SQM), a drill-down matrix (City → Town → District), and two ranked bar charts for the top 15 towns by price and volume.
</w:t>
      </w:r>
    </w:p>
    <w:p>
      <w:pPr>
        <w:spacing w:after="120" w:before="120" w:line="336" w:lineRule="auto"/>
        <w:ind w:firstLine="0" w:start="0"/>
        <w:jc w:val="start"/>
      </w:pPr>
      <w:r>
        <w:rPr>
          <w:rFonts w:ascii="Arimo Bold" w:hAnsi="Arimo Bold" w:cs="Arimo Bold" w:eastAsia="Arimo Bold"/>
          <w:b/>
          <w:bCs/>
          <w:color w:val="000000"/>
          <w:sz w:val="24"/>
          <w:szCs w:val="24"/>
        </w:rPr>
        <w:t>Key Insights — Location Intelligence</w:t>
      </w:r>
      <w:r>
        <w:rPr>
          <w:rFonts w:ascii="Arimo" w:hAnsi="Arimo" w:cs="Arimo" w:eastAsia="Arimo"/>
          <w:color w:val="000000"/>
          <w:sz w:val="24"/>
          <w:szCs w:val="24"/>
        </w:rPr>
        <w:t xml:space="preserve">
</w:t>
      </w:r>
    </w:p>
    <w:p>
      <w:pPr>
        <w:numPr>
          <w:ilvl w:val="0"/>
          <w:numId w:val="2"/>
        </w:numPr>
        <w:spacing w:after="0" w:before="0" w:line="336" w:lineRule="auto"/>
        <w:jc w:val="start"/>
      </w:pPr>
      <w:r>
        <w:rPr>
          <w:rFonts w:ascii="Arimo" w:hAnsi="Arimo" w:cs="Arimo" w:eastAsia="Arimo"/>
          <w:color w:val="000000"/>
          <w:sz w:val="24"/>
          <w:szCs w:val="24"/>
        </w:rPr>
        <w:t xml:space="preserve">Upscale compounds in New Cairo and Sheikh Zayed command the highest price per SQM nationally; coastal districts in Ain Sokhna and North Coast spike seasonally for vacation properties.
</w:t>
      </w:r>
    </w:p>
    <w:p>
      <w:pPr>
        <w:numPr>
          <w:ilvl w:val="0"/>
          <w:numId w:val="2"/>
        </w:numPr>
        <w:spacing w:after="0" w:before="0" w:line="336" w:lineRule="auto"/>
        <w:jc w:val="start"/>
      </w:pPr>
      <w:r>
        <w:rPr>
          <w:rFonts w:ascii="Arimo" w:hAnsi="Arimo" w:cs="Arimo" w:eastAsia="Arimo"/>
          <w:color w:val="000000"/>
          <w:sz w:val="24"/>
          <w:szCs w:val="24"/>
        </w:rPr>
        <w:t xml:space="preserve">The City → Town → District drill-down matrix reveals sharp intra-city price variance — two towns in the same city can differ by 2× in median SQM price, making town-level targeting essential.
</w:t>
      </w:r>
    </w:p>
    <w:p>
      <w:pPr>
        <w:numPr>
          <w:ilvl w:val="0"/>
          <w:numId w:val="2"/>
        </w:numPr>
        <w:spacing w:after="0" w:before="0" w:line="336" w:lineRule="auto"/>
        <w:jc w:val="start"/>
      </w:pPr>
      <w:r>
        <w:rPr>
          <w:rFonts w:ascii="Arimo" w:hAnsi="Arimo" w:cs="Arimo" w:eastAsia="Arimo"/>
          <w:color w:val="000000"/>
          <w:sz w:val="24"/>
          <w:szCs w:val="24"/>
        </w:rPr>
        <w:t xml:space="preserve">Top 15 Towns by Volume often differ from Top 15 by Price, which means high-supply areas are not always high-price — useful for identifying undervalued inventory.
</w:t>
      </w:r>
    </w:p>
    <w:p>
      <w:pPr>
        <w:numPr>
          <w:ilvl w:val="0"/>
          <w:numId w:val="2"/>
        </w:numPr>
        <w:spacing w:after="0" w:before="0" w:line="336" w:lineRule="auto"/>
        <w:jc w:val="start"/>
      </w:pPr>
      <w:r>
        <w:rPr>
          <w:rFonts w:ascii="Arimo" w:hAnsi="Arimo" w:cs="Arimo" w:eastAsia="Arimo"/>
          <w:color w:val="000000"/>
          <w:sz w:val="24"/>
          <w:szCs w:val="24"/>
        </w:rPr>
        <w:t xml:space="preserve">Coastal and resort-market towns rank highly by price per SQM but with thinner listing counts, signalling niche/premium segments rather than mainstream activity.
</w:t>
      </w:r>
    </w:p>
    <w:p>
      <w:pPr>
        <w:numPr>
          <w:ilvl w:val="0"/>
          <w:numId w:val="2"/>
        </w:numPr>
        <w:spacing w:after="0" w:before="0" w:line="336" w:lineRule="auto"/>
        <w:jc w:val="start"/>
      </w:pPr>
      <w:r>
        <w:rPr>
          <w:rFonts w:ascii="Arimo" w:hAnsi="Arimo" w:cs="Arimo" w:eastAsia="Arimo"/>
          <w:color w:val="000000"/>
          <w:sz w:val="24"/>
          <w:szCs w:val="24"/>
        </w:rPr>
        <w:t xml:space="preserve">Districts with few listings but high prices warrant caution — small sample size inflates apparent medians; cross-reference with the matrix's listing count column.
</w:t>
      </w:r>
    </w:p>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9030"/>
      </w:tblGrid>
      <w:tr>
        <w:tc>
          <w:tcPr>
            <w:tcW w:w="9030" w:type="dxa"/>
            <w:shd w:val="clear" w:color="auto" w:fill="000000"/>
            <w:tcMar>
              <w:top w:w="0"/>
              <w:start w:w="0"/>
              <w:bottom w:w="0"/>
              <w:end w:w="0"/>
            </w:tcMar>
          </w:tcPr>
          <w:p>
            <w:pPr>
              <w:spacing w:after="120" w:before="120" w:line="336" w:lineRule="auto"/>
              <w:ind w:firstLine="0" w:start="0"/>
              <w:jc w:val="start"/>
            </w:pPr>
            <w:r>
              <w:rPr>
                <w:rFonts w:ascii="Bricolage Grotesque Bold" w:hAnsi="Bricolage Grotesque Bold" w:cs="Bricolage Grotesque Bold" w:eastAsia="Bricolage Grotesque Bold"/>
                <w:b/>
                <w:bCs/>
                <w:color w:val="ffffff"/>
                <w:sz w:val="40"/>
                <w:szCs w:val="40"/>
              </w:rPr>
              <w:t xml:space="preserve">1.3 Property Specs &amp; Pricing
</w:t>
            </w:r>
          </w:p>
        </w:tc>
      </w:tr>
    </w:tbl>
    <w:p>
      <w:pPr>
        <w:spacing w:after="120" w:before="120" w:line="336" w:lineRule="auto"/>
        <w:ind w:firstLine="0" w:start="0"/>
        <w:jc w:val="start"/>
      </w:pPr>
      <w:r>
        <w:rPr>
          <w:rFonts w:ascii="Arimo" w:hAnsi="Arimo" w:cs="Arimo" w:eastAsia="Arimo"/>
          <w:color w:val="000000"/>
          <w:sz w:val="24"/>
          <w:szCs w:val="24"/>
        </w:rPr>
        <w:t xml:space="preserve">This page analyses how physical attributes — bedrooms, bathrooms, furnished status, total area — and amenity count drive price per SQM, using column charts, a log-scale scatter, and the 20-amenity ranked bar.
</w:t>
      </w:r>
    </w:p>
    <w:p>
      <w:pPr>
        <w:spacing w:after="120" w:before="120" w:line="336" w:lineRule="auto"/>
        <w:ind w:firstLine="0" w:start="0"/>
        <w:jc w:val="start"/>
      </w:pPr>
      <w:r>
        <w:rPr>
          <w:rFonts w:ascii="Arimo Bold" w:hAnsi="Arimo Bold" w:cs="Arimo Bold" w:eastAsia="Arimo Bold"/>
          <w:b/>
          <w:bCs/>
          <w:color w:val="000000"/>
          <w:sz w:val="24"/>
          <w:szCs w:val="24"/>
        </w:rPr>
        <w:t>Key Insights — Specs &amp; Pricing</w:t>
      </w:r>
      <w:r>
        <w:rPr>
          <w:rFonts w:ascii="Arimo" w:hAnsi="Arimo" w:cs="Arimo" w:eastAsia="Arimo"/>
          <w:color w:val="000000"/>
          <w:sz w:val="24"/>
          <w:szCs w:val="24"/>
        </w:rPr>
        <w:t xml:space="preserve">
</w:t>
      </w:r>
    </w:p>
    <w:p>
      <w:pPr>
        <w:numPr>
          <w:ilvl w:val="0"/>
          <w:numId w:val="3"/>
        </w:numPr>
        <w:spacing w:after="0" w:before="0" w:line="336" w:lineRule="auto"/>
        <w:jc w:val="start"/>
      </w:pPr>
      <w:r>
        <w:rPr>
          <w:rFonts w:ascii="Arimo" w:hAnsi="Arimo" w:cs="Arimo" w:eastAsia="Arimo"/>
          <w:color w:val="000000"/>
          <w:sz w:val="24"/>
          <w:szCs w:val="24"/>
        </w:rPr>
        <w:t xml:space="preserve">Smaller units (1–2 bedrooms) frequently achieve a higher price per SQM than larger ones in the same city — driven by rental demand and investor preference for smaller, easier-to-let properties.
</w:t>
      </w:r>
    </w:p>
    <w:p>
      <w:pPr>
        <w:numPr>
          <w:ilvl w:val="0"/>
          <w:numId w:val="3"/>
        </w:numPr>
        <w:spacing w:after="0" w:before="0" w:line="336" w:lineRule="auto"/>
        <w:jc w:val="start"/>
      </w:pPr>
      <w:r>
        <w:rPr>
          <w:rFonts w:ascii="Arimo" w:hAnsi="Arimo" w:cs="Arimo" w:eastAsia="Arimo"/>
          <w:color w:val="000000"/>
          <w:sz w:val="24"/>
          <w:szCs w:val="24"/>
        </w:rPr>
        <w:t xml:space="preserve">Furnished listings command a significant price premium over unfurnished equivalents; semi-furnished units sit in between — the Furnished Status bar chart quantifies this spread precisely.
</w:t>
      </w:r>
    </w:p>
    <w:p>
      <w:pPr>
        <w:numPr>
          <w:ilvl w:val="0"/>
          <w:numId w:val="3"/>
        </w:numPr>
        <w:spacing w:after="0" w:before="0" w:line="336" w:lineRule="auto"/>
        <w:jc w:val="start"/>
      </w:pPr>
      <w:r>
        <w:rPr>
          <w:rFonts w:ascii="Arimo" w:hAnsi="Arimo" w:cs="Arimo" w:eastAsia="Arimo"/>
          <w:color w:val="000000"/>
          <w:sz w:val="24"/>
          <w:szCs w:val="24"/>
        </w:rPr>
        <w:t xml:space="preserve">The Area vs Price log-scale scatter confirms a positive correlation, but type-level dispersion is wide — property type (villa vs apartment) is a stronger price determinant than raw area.
</w:t>
      </w:r>
    </w:p>
    <w:p>
      <w:pPr>
        <w:numPr>
          <w:ilvl w:val="0"/>
          <w:numId w:val="3"/>
        </w:numPr>
        <w:spacing w:after="0" w:before="0" w:line="336" w:lineRule="auto"/>
        <w:jc w:val="start"/>
      </w:pPr>
      <w:r>
        <w:rPr>
          <w:rFonts w:ascii="Arimo" w:hAnsi="Arimo" w:cs="Arimo" w:eastAsia="Arimo"/>
          <w:color w:val="000000"/>
          <w:sz w:val="24"/>
          <w:szCs w:val="24"/>
        </w:rPr>
        <w:t xml:space="preserve">Amenity count has a clear positive relationship with price per SQM up to around 10–12 amenities; beyond that, diminishing returns appear — the line chart on amenity count vs price illustrates this inflection.
</w:t>
      </w:r>
    </w:p>
    <w:p>
      <w:pPr>
        <w:numPr>
          <w:ilvl w:val="0"/>
          <w:numId w:val="3"/>
        </w:numPr>
        <w:spacing w:after="0" w:before="0" w:line="336" w:lineRule="auto"/>
        <w:jc w:val="start"/>
      </w:pPr>
      <w:r>
        <w:rPr>
          <w:rFonts w:ascii="Arimo" w:hAnsi="Arimo" w:cs="Arimo" w:eastAsia="Arimo"/>
          <w:color w:val="000000"/>
          <w:sz w:val="24"/>
          <w:szCs w:val="24"/>
        </w:rPr>
        <w:t xml:space="preserve">The AmenityPriceSummary bar chart reveals that luxury/experiential amenities (private pool, shared spa, water view) rank at the top, while functional amenities (security, covered parking) rank lower but appear in more listings.
</w:t>
      </w:r>
    </w:p>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9030"/>
      </w:tblGrid>
      <w:tr>
        <w:tc>
          <w:tcPr>
            <w:tcW w:w="9030" w:type="dxa"/>
            <w:shd w:val="clear" w:color="auto" w:fill="000000"/>
            <w:tcMar>
              <w:top w:w="0"/>
              <w:start w:w="0"/>
              <w:bottom w:w="0"/>
              <w:end w:w="0"/>
            </w:tcMar>
          </w:tcPr>
          <w:p>
            <w:pPr>
              <w:spacing w:after="120" w:before="120" w:line="336" w:lineRule="auto"/>
              <w:ind w:firstLine="0" w:start="0"/>
              <w:jc w:val="start"/>
            </w:pPr>
            <w:r>
              <w:rPr>
                <w:rFonts w:ascii="Bricolage Grotesque Bold" w:hAnsi="Bricolage Grotesque Bold" w:cs="Bricolage Grotesque Bold" w:eastAsia="Bricolage Grotesque Bold"/>
                <w:b/>
                <w:bCs/>
                <w:color w:val="ffffff"/>
                <w:sz w:val="40"/>
                <w:szCs w:val="40"/>
              </w:rPr>
              <w:t xml:space="preserve">1.4 Agent &amp; Listing Quality
</w:t>
            </w:r>
          </w:p>
        </w:tc>
      </w:tr>
    </w:tbl>
    <w:p>
      <w:pPr>
        <w:spacing w:after="120" w:before="120" w:line="336" w:lineRule="auto"/>
        <w:ind w:firstLine="0" w:start="0"/>
        <w:jc w:val="start"/>
      </w:pPr>
      <w:r>
        <w:rPr>
          <w:rFonts w:ascii="Arimo" w:hAnsi="Arimo" w:cs="Arimo" w:eastAsia="Arimo"/>
          <w:color w:val="000000"/>
          <w:sz w:val="24"/>
          <w:szCs w:val="24"/>
        </w:rPr>
        <w:t xml:space="preserve">The Agent &amp; Quality page tracks listing quality flags (premium, verified, featured, new construction, direct-from-dev, furnished) and broker performance through ranked bar charts, a scatter, and a sortable agent table.
</w:t>
      </w:r>
    </w:p>
    <w:p>
      <w:pPr>
        <w:spacing w:after="120" w:before="120" w:line="336" w:lineRule="auto"/>
        <w:ind w:firstLine="0" w:start="0"/>
        <w:jc w:val="start"/>
      </w:pPr>
      <w:r>
        <w:rPr>
          <w:rFonts w:ascii="Arimo Bold" w:hAnsi="Arimo Bold" w:cs="Arimo Bold" w:eastAsia="Arimo Bold"/>
          <w:b/>
          <w:bCs/>
          <w:color w:val="000000"/>
          <w:sz w:val="24"/>
          <w:szCs w:val="24"/>
        </w:rPr>
        <w:t>Key Insights — Agent &amp; Listing Quality</w:t>
      </w:r>
      <w:r>
        <w:rPr>
          <w:rFonts w:ascii="Arimo" w:hAnsi="Arimo" w:cs="Arimo" w:eastAsia="Arimo"/>
          <w:color w:val="000000"/>
          <w:sz w:val="24"/>
          <w:szCs w:val="24"/>
        </w:rPr>
        <w:t xml:space="preserve">
</w:t>
      </w:r>
    </w:p>
    <w:p>
      <w:pPr>
        <w:numPr>
          <w:ilvl w:val="0"/>
          <w:numId w:val="4"/>
        </w:numPr>
        <w:spacing w:after="0" w:before="0" w:line="336" w:lineRule="auto"/>
        <w:jc w:val="start"/>
      </w:pPr>
      <w:r>
        <w:rPr>
          <w:rFonts w:ascii="Arimo" w:hAnsi="Arimo" w:cs="Arimo" w:eastAsia="Arimo"/>
          <w:color w:val="000000"/>
          <w:sz w:val="24"/>
          <w:szCs w:val="24"/>
        </w:rPr>
        <w:t xml:space="preserve">Premium listings represent a small but meaningful share of total inventory — filtering to premium-only dramatically narrows the dataset and raises average asking prices, confirming the premium tier is real and distinct.
</w:t>
      </w:r>
    </w:p>
    <w:p>
      <w:pPr>
        <w:numPr>
          <w:ilvl w:val="0"/>
          <w:numId w:val="4"/>
        </w:numPr>
        <w:spacing w:after="0" w:before="0" w:line="336" w:lineRule="auto"/>
        <w:jc w:val="start"/>
      </w:pPr>
      <w:r>
        <w:rPr>
          <w:rFonts w:ascii="Arimo" w:hAnsi="Arimo" w:cs="Arimo" w:eastAsia="Arimo"/>
          <w:color w:val="000000"/>
          <w:sz w:val="24"/>
          <w:szCs w:val="24"/>
        </w:rPr>
        <w:t xml:space="preserve">Verified listings cluster disproportionately with top-ranking agents — verification is both a trust signal and a performance differentiator.
</w:t>
      </w:r>
    </w:p>
    <w:p>
      <w:pPr>
        <w:numPr>
          <w:ilvl w:val="0"/>
          <w:numId w:val="4"/>
        </w:numPr>
        <w:spacing w:after="0" w:before="0" w:line="336" w:lineRule="auto"/>
        <w:jc w:val="start"/>
      </w:pPr>
      <w:r>
        <w:rPr>
          <w:rFonts w:ascii="Arimo" w:hAnsi="Arimo" w:cs="Arimo" w:eastAsia="Arimo"/>
          <w:color w:val="000000"/>
          <w:sz w:val="24"/>
          <w:szCs w:val="24"/>
        </w:rPr>
        <w:t xml:space="preserve">The Agent Volume vs Avg Price scatter reveals two distinct agent archetypes: volume specialists (many listings, mid-market price) and premium specialists (fewer listings, high price).
</w:t>
      </w:r>
    </w:p>
    <w:p>
      <w:pPr>
        <w:numPr>
          <w:ilvl w:val="0"/>
          <w:numId w:val="4"/>
        </w:numPr>
        <w:spacing w:after="0" w:before="0" w:line="336" w:lineRule="auto"/>
        <w:jc w:val="start"/>
      </w:pPr>
      <w:r>
        <w:rPr>
          <w:rFonts w:ascii="Arimo" w:hAnsi="Arimo" w:cs="Arimo" w:eastAsia="Arimo"/>
          <w:color w:val="000000"/>
          <w:sz w:val="24"/>
          <w:szCs w:val="24"/>
        </w:rPr>
        <w:t xml:space="preserve">Super-agents (top 10 by volume) account for a disproportionate share of featured and verified listings — network and platform access compound their advantage.
</w:t>
      </w:r>
    </w:p>
    <w:p>
      <w:pPr>
        <w:numPr>
          <w:ilvl w:val="0"/>
          <w:numId w:val="4"/>
        </w:numPr>
        <w:spacing w:after="0" w:before="0" w:line="336" w:lineRule="auto"/>
        <w:jc w:val="start"/>
      </w:pPr>
      <w:r>
        <w:rPr>
          <w:rFonts w:ascii="Arimo" w:hAnsi="Arimo" w:cs="Arimo" w:eastAsia="Arimo"/>
          <w:color w:val="000000"/>
          <w:sz w:val="24"/>
          <w:szCs w:val="24"/>
        </w:rPr>
        <w:t xml:space="preserve">New-construction and direct-from-developer listings carry a separate price premium independent of furnishing status — these are distinct market segments worth filtering for.
</w:t>
      </w:r>
    </w:p>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9030"/>
      </w:tblGrid>
      <w:tr>
        <w:tc>
          <w:tcPr>
            <w:tcW w:w="9030" w:type="dxa"/>
            <w:shd w:val="clear" w:color="auto" w:fill="000000"/>
            <w:tcMar>
              <w:top w:w="0"/>
              <w:start w:w="0"/>
              <w:bottom w:w="0"/>
              <w:end w:w="0"/>
            </w:tcMar>
          </w:tcPr>
          <w:p>
            <w:pPr>
              <w:spacing w:after="120" w:before="120" w:line="336" w:lineRule="auto"/>
              <w:ind w:firstLine="0" w:start="0"/>
              <w:jc w:val="start"/>
            </w:pPr>
            <w:r>
              <w:rPr>
                <w:rFonts w:ascii="Bricolage Grotesque Bold" w:hAnsi="Bricolage Grotesque Bold" w:cs="Bricolage Grotesque Bold" w:eastAsia="Bricolage Grotesque Bold"/>
                <w:b/>
                <w:bCs/>
                <w:color w:val="ffffff"/>
                <w:sz w:val="40"/>
                <w:szCs w:val="40"/>
              </w:rPr>
              <w:t xml:space="preserve">1.5 Temporal Trends &amp; Seasonality
</w:t>
            </w:r>
          </w:p>
        </w:tc>
      </w:tr>
    </w:tbl>
    <w:p>
      <w:pPr>
        <w:spacing w:after="120" w:before="120" w:line="336" w:lineRule="auto"/>
        <w:ind w:firstLine="0" w:start="0"/>
        <w:jc w:val="start"/>
      </w:pPr>
      <w:r>
        <w:rPr>
          <w:rFonts w:ascii="Arimo" w:hAnsi="Arimo" w:cs="Arimo" w:eastAsia="Arimo"/>
          <w:color w:val="000000"/>
          <w:sz w:val="24"/>
          <w:szCs w:val="24"/>
        </w:rPr>
        <w:t xml:space="preserve">This page tracks listing volume and average price per SQM over time using a dual-axis line chart, a month-level bar chart of listing counts, and a season-tagged trend overlay.
</w:t>
      </w:r>
    </w:p>
    <w:p>
      <w:pPr>
        <w:spacing w:after="120" w:before="120" w:line="336" w:lineRule="auto"/>
        <w:ind w:firstLine="0" w:start="0"/>
        <w:jc w:val="start"/>
      </w:pPr>
      <w:r>
        <w:rPr>
          <w:rFonts w:ascii="Arimo Bold" w:hAnsi="Arimo Bold" w:cs="Arimo Bold" w:eastAsia="Arimo Bold"/>
          <w:b/>
          <w:bCs/>
          <w:color w:val="000000"/>
          <w:sz w:val="24"/>
          <w:szCs w:val="24"/>
        </w:rPr>
        <w:t>Key Insights — Temporal Trends &amp; Seasonality</w:t>
      </w:r>
      <w:r>
        <w:rPr>
          <w:rFonts w:ascii="Arimo" w:hAnsi="Arimo" w:cs="Arimo" w:eastAsia="Arimo"/>
          <w:color w:val="000000"/>
          <w:sz w:val="24"/>
          <w:szCs w:val="24"/>
        </w:rPr>
        <w:t xml:space="preserve">
</w:t>
      </w:r>
    </w:p>
    <w:p>
      <w:pPr>
        <w:numPr>
          <w:ilvl w:val="0"/>
          <w:numId w:val="5"/>
        </w:numPr>
        <w:spacing w:after="0" w:before="0" w:line="336" w:lineRule="auto"/>
        <w:jc w:val="start"/>
      </w:pPr>
      <w:r>
        <w:rPr>
          <w:rFonts w:ascii="Arimo" w:hAnsi="Arimo" w:cs="Arimo" w:eastAsia="Arimo"/>
          <w:color w:val="000000"/>
          <w:sz w:val="24"/>
          <w:szCs w:val="24"/>
        </w:rPr>
        <w:t xml:space="preserve">Listing volume peaks in January (post-holiday market restart) and September (academic-year relocation cycle) — the two most active months for new supply entering the platform.
</w:t>
      </w:r>
    </w:p>
    <w:p>
      <w:pPr>
        <w:numPr>
          <w:ilvl w:val="0"/>
          <w:numId w:val="5"/>
        </w:numPr>
        <w:spacing w:after="0" w:before="0" w:line="336" w:lineRule="auto"/>
        <w:jc w:val="start"/>
      </w:pPr>
      <w:r>
        <w:rPr>
          <w:rFonts w:ascii="Arimo" w:hAnsi="Arimo" w:cs="Arimo" w:eastAsia="Arimo"/>
          <w:color w:val="000000"/>
          <w:sz w:val="24"/>
          <w:szCs w:val="24"/>
        </w:rPr>
        <w:t xml:space="preserve">Buy price per SQM shows a consistent upward trend across the 2024–2026 window, while rent price per SQM has grown more slowly — this compression is gradually narrowing gross rental yields.
</w:t>
      </w:r>
    </w:p>
    <w:p>
      <w:pPr>
        <w:numPr>
          <w:ilvl w:val="0"/>
          <w:numId w:val="5"/>
        </w:numPr>
        <w:spacing w:after="0" w:before="0" w:line="336" w:lineRule="auto"/>
        <w:jc w:val="start"/>
      </w:pPr>
      <w:r>
        <w:rPr>
          <w:rFonts w:ascii="Arimo" w:hAnsi="Arimo" w:cs="Arimo" w:eastAsia="Arimo"/>
          <w:color w:val="000000"/>
          <w:sz w:val="24"/>
          <w:szCs w:val="24"/>
        </w:rPr>
        <w:t xml:space="preserve">Q2 (April–June) represents the spring buying season: highest listing activity, strongest price momentum, and fastest time-to-inquiry metrics.
</w:t>
      </w:r>
    </w:p>
    <w:p>
      <w:pPr>
        <w:numPr>
          <w:ilvl w:val="0"/>
          <w:numId w:val="5"/>
        </w:numPr>
        <w:spacing w:after="0" w:before="0" w:line="336" w:lineRule="auto"/>
        <w:jc w:val="start"/>
      </w:pPr>
      <w:r>
        <w:rPr>
          <w:rFonts w:ascii="Arimo" w:hAnsi="Arimo" w:cs="Arimo" w:eastAsia="Arimo"/>
          <w:color w:val="000000"/>
          <w:sz w:val="24"/>
          <w:szCs w:val="24"/>
        </w:rPr>
        <w:t xml:space="preserve">Mid-week publishing (Thursday) correlates with higher listing engagement — agents appear to time launches ahead of the weekend browsing cycle.
</w:t>
      </w:r>
    </w:p>
    <w:p>
      <w:pPr>
        <w:numPr>
          <w:ilvl w:val="0"/>
          <w:numId w:val="5"/>
        </w:numPr>
        <w:spacing w:after="0" w:before="0" w:line="336" w:lineRule="auto"/>
        <w:jc w:val="start"/>
      </w:pPr>
      <w:r>
        <w:rPr>
          <w:rFonts w:ascii="Arimo" w:hAnsi="Arimo" w:cs="Arimo" w:eastAsia="Arimo"/>
          <w:color w:val="000000"/>
          <w:sz w:val="24"/>
          <w:szCs w:val="24"/>
        </w:rPr>
        <w:t xml:space="preserve">Seasonal overlays confirm that coastal/vacation markets (North Coast, Ain Sokhna) show inverted seasonality versus urban residential markets — peak activity in summer months rather than spring.
</w:t>
      </w:r>
    </w:p>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9030"/>
      </w:tblGrid>
      <w:tr>
        <w:tc>
          <w:tcPr>
            <w:tcW w:w="9030" w:type="dxa"/>
            <w:tcMar>
              <w:top w:w="0"/>
              <w:start w:w="0"/>
              <w:bottom w:w="0"/>
              <w:end w:w="0"/>
            </w:tcMar>
          </w:tcPr>
          <w:p>
            <w:pPr>
              <w:spacing w:after="120" w:before="120" w:line="336" w:lineRule="auto"/>
              <w:ind w:firstLine="0" w:start="0"/>
              <w:jc w:val="start"/>
            </w:pPr>
            <w:r>
              <w:rPr>
                <w:rFonts w:ascii="Bricolage Grotesque Bold" w:hAnsi="Bricolage Grotesque Bold" w:cs="Bricolage Grotesque Bold" w:eastAsia="Bricolage Grotesque Bold"/>
                <w:b/>
                <w:bCs/>
                <w:color w:val="ffffff"/>
                <w:sz w:val="40"/>
                <w:szCs w:val="40"/>
              </w:rPr>
              <w:t xml:space="preserve">1.6 Time Intelligence Deep Dive
</w:t>
            </w:r>
          </w:p>
        </w:tc>
      </w:tr>
    </w:tbl>
    <w:p>
      <w:pPr>
        <w:spacing w:after="120" w:before="120" w:line="336" w:lineRule="auto"/>
        <w:ind w:firstLine="0" w:start="0"/>
        <w:jc w:val="start"/>
      </w:pPr>
      <w:r>
        <w:rPr>
          <w:rFonts w:ascii="Arimo" w:hAnsi="Arimo" w:cs="Arimo" w:eastAsia="Arimo"/>
          <w:color w:val="000000"/>
          <w:sz w:val="24"/>
          <w:szCs w:val="24"/>
        </w:rPr>
        <w:t xml:space="preserve">This page extends the temporal analysis using DAX time-intelligence functions: Month-over-Month (MoM) price change, Quarter-over-Quarter (QoQ) volume change, Year-to-Date (YTD) cumulative listing counts, and a rolling 3-month average price.
</w:t>
      </w:r>
    </w:p>
    <w:p>
      <w:pPr>
        <w:spacing w:after="120" w:before="120" w:line="336" w:lineRule="auto"/>
        <w:ind w:firstLine="0" w:start="0"/>
        <w:jc w:val="start"/>
      </w:pPr>
      <w:r>
        <w:rPr>
          <w:rFonts w:ascii="Arimo Bold" w:hAnsi="Arimo Bold" w:cs="Arimo Bold" w:eastAsia="Arimo Bold"/>
          <w:b/>
          <w:bCs/>
          <w:color w:val="000000"/>
          <w:sz w:val="24"/>
          <w:szCs w:val="24"/>
        </w:rPr>
        <w:t>Key Insights — Time Intelligence</w:t>
      </w:r>
      <w:r>
        <w:rPr>
          <w:rFonts w:ascii="Arimo" w:hAnsi="Arimo" w:cs="Arimo" w:eastAsia="Arimo"/>
          <w:color w:val="000000"/>
          <w:sz w:val="24"/>
          <w:szCs w:val="24"/>
        </w:rPr>
        <w:t xml:space="preserve">
</w:t>
      </w:r>
    </w:p>
    <w:p>
      <w:pPr>
        <w:numPr>
          <w:ilvl w:val="0"/>
          <w:numId w:val="6"/>
        </w:numPr>
        <w:spacing w:after="0" w:before="0" w:line="336" w:lineRule="auto"/>
        <w:jc w:val="start"/>
      </w:pPr>
      <w:r>
        <w:rPr>
          <w:rFonts w:ascii="Arimo" w:hAnsi="Arimo" w:cs="Arimo" w:eastAsia="Arimo"/>
          <w:color w:val="000000"/>
          <w:sz w:val="24"/>
          <w:szCs w:val="24"/>
        </w:rPr>
        <w:t xml:space="preserve">MoM price changes reveal short-term volatility masked by quarterly averages — individual months can swing ±5–8% even in an overall uptrend.
</w:t>
      </w:r>
    </w:p>
    <w:p>
      <w:pPr>
        <w:numPr>
          <w:ilvl w:val="0"/>
          <w:numId w:val="6"/>
        </w:numPr>
        <w:spacing w:after="0" w:before="0" w:line="336" w:lineRule="auto"/>
        <w:jc w:val="start"/>
      </w:pPr>
      <w:r>
        <w:rPr>
          <w:rFonts w:ascii="Arimo" w:hAnsi="Arimo" w:cs="Arimo" w:eastAsia="Arimo"/>
          <w:color w:val="000000"/>
          <w:sz w:val="24"/>
          <w:szCs w:val="24"/>
        </w:rPr>
        <w:t xml:space="preserve">QoQ volume analysis confirms Q1 2026 saw a deceleration in new listing supply growth relative to Q1 2025 — an early signal of market cooling.
</w:t>
      </w:r>
    </w:p>
    <w:p>
      <w:pPr>
        <w:numPr>
          <w:ilvl w:val="0"/>
          <w:numId w:val="6"/>
        </w:numPr>
        <w:spacing w:after="0" w:before="0" w:line="336" w:lineRule="auto"/>
        <w:jc w:val="start"/>
      </w:pPr>
      <w:r>
        <w:rPr>
          <w:rFonts w:ascii="Arimo" w:hAnsi="Arimo" w:cs="Arimo" w:eastAsia="Arimo"/>
          <w:color w:val="000000"/>
          <w:sz w:val="24"/>
          <w:szCs w:val="24"/>
        </w:rPr>
        <w:t xml:space="preserve">YTD cumulative listing counts confirm Cairo and Giza as the most consistently active markets; New Cairo shows the steepest YTD price appreciation curve.
</w:t>
      </w:r>
    </w:p>
    <w:p>
      <w:pPr>
        <w:numPr>
          <w:ilvl w:val="0"/>
          <w:numId w:val="6"/>
        </w:numPr>
        <w:spacing w:after="0" w:before="0" w:line="336" w:lineRule="auto"/>
        <w:jc w:val="start"/>
      </w:pPr>
      <w:r>
        <w:rPr>
          <w:rFonts w:ascii="Arimo" w:hAnsi="Arimo" w:cs="Arimo" w:eastAsia="Arimo"/>
          <w:color w:val="000000"/>
          <w:sz w:val="24"/>
          <w:szCs w:val="24"/>
        </w:rPr>
        <w:t xml:space="preserve">The rolling 3-month average smooths noise and confirms the broader upward price trend is intact as of August 2026, though the rate of appreciation is slowing.
</w:t>
      </w:r>
    </w:p>
    <w:p>
      <w:pPr>
        <w:numPr>
          <w:ilvl w:val="0"/>
          <w:numId w:val="6"/>
        </w:numPr>
        <w:spacing w:after="0" w:before="0" w:line="336" w:lineRule="auto"/>
        <w:jc w:val="start"/>
      </w:pPr>
      <w:r>
        <w:rPr>
          <w:rFonts w:ascii="Arimo" w:hAnsi="Arimo" w:cs="Arimo" w:eastAsia="Arimo"/>
          <w:color w:val="000000"/>
          <w:sz w:val="24"/>
          <w:szCs w:val="24"/>
        </w:rPr>
        <w:t xml:space="preserve">Comparing YTD listing counts to prior-year same-period reveals that 2026 supply is running ahead of 2025 in most cities — increasing absorption pressure on pricing.
</w:t>
      </w:r>
    </w:p>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9030"/>
      </w:tblGrid>
      <w:tr>
        <w:tc>
          <w:tcPr>
            <w:tcW w:w="9030" w:type="dxa"/>
            <w:shd w:val="clear" w:color="auto" w:fill="000000"/>
            <w:tcMar>
              <w:top w:w="0"/>
              <w:start w:w="0"/>
              <w:bottom w:w="0"/>
              <w:end w:w="0"/>
            </w:tcMar>
          </w:tcPr>
          <w:p>
            <w:pPr>
              <w:spacing w:after="120" w:before="120" w:line="336" w:lineRule="auto"/>
              <w:ind w:firstLine="0" w:start="0"/>
              <w:jc w:val="start"/>
            </w:pPr>
            <w:r>
              <w:rPr>
                <w:rFonts w:ascii="Bricolage Grotesque Bold" w:hAnsi="Bricolage Grotesque Bold" w:cs="Bricolage Grotesque Bold" w:eastAsia="Bricolage Grotesque Bold"/>
                <w:b/>
                <w:bCs/>
                <w:color w:val="ffffff"/>
                <w:sz w:val="40"/>
                <w:szCs w:val="40"/>
              </w:rPr>
              <w:t xml:space="preserve">PART 2 — TABLEAU DASHBOARD INSIGHTS
</w:t>
            </w:r>
          </w:p>
        </w:tc>
      </w:tr>
    </w:tbl>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9030"/>
      </w:tblGrid>
      <w:tr>
        <w:tc>
          <w:tcPr>
            <w:tcW w:w="9030" w:type="dxa"/>
            <w:shd w:val="clear" w:color="auto" w:fill="000000"/>
            <w:tcMar>
              <w:top w:w="0"/>
              <w:start w:w="0"/>
              <w:bottom w:w="0"/>
              <w:end w:w="0"/>
            </w:tcMar>
          </w:tcPr>
          <w:p>
            <w:pPr>
              <w:spacing w:after="120" w:before="120" w:line="336" w:lineRule="auto"/>
              <w:ind w:firstLine="0" w:start="0"/>
              <w:jc w:val="start"/>
            </w:pPr>
            <w:r>
              <w:rPr>
                <w:rFonts w:ascii="Bricolage Grotesque Bold" w:hAnsi="Bricolage Grotesque Bold" w:cs="Bricolage Grotesque Bold" w:eastAsia="Bricolage Grotesque Bold"/>
                <w:b/>
                <w:bCs/>
                <w:color w:val="ffffff"/>
                <w:sz w:val="40"/>
                <w:szCs w:val="40"/>
              </w:rPr>
              <w:t xml:space="preserve">2.1 Amenity Intelligence
</w:t>
            </w:r>
          </w:p>
        </w:tc>
      </w:tr>
    </w:tbl>
    <w:p>
      <w:pPr>
        <w:spacing w:after="120" w:before="120" w:line="336" w:lineRule="auto"/>
        <w:ind w:firstLine="0" w:start="0"/>
        <w:jc w:val="start"/>
      </w:pPr>
      <w:r>
        <w:rPr>
          <w:rFonts w:ascii="Arimo" w:hAnsi="Arimo" w:cs="Arimo" w:eastAsia="Arimo"/>
          <w:color w:val="000000"/>
          <w:sz w:val="24"/>
          <w:szCs w:val="24"/>
        </w:rPr>
        <w:t xml:space="preserve">Dashboard 1 delivers a full amenity deep-dive: a ranked bar chart of average price per SQM by amenity, an amenity count vs price scatter, a co-occurrence heatmap, and a furnishing-status breakdown.
</w:t>
      </w:r>
    </w:p>
    <w:p>
      <w:pPr>
        <w:spacing w:after="120" w:before="120" w:line="336" w:lineRule="auto"/>
        <w:ind w:firstLine="0" w:start="0"/>
        <w:jc w:val="start"/>
      </w:pPr>
      <w:r>
        <w:rPr>
          <w:rFonts w:ascii="Arimo Bold" w:hAnsi="Arimo Bold" w:cs="Arimo Bold" w:eastAsia="Arimo Bold"/>
          <w:b/>
          <w:bCs/>
          <w:color w:val="000000"/>
          <w:sz w:val="24"/>
          <w:szCs w:val="24"/>
        </w:rPr>
        <w:t>Key Insights — Amenity Intelligence</w:t>
      </w:r>
      <w:r>
        <w:rPr>
          <w:rFonts w:ascii="Arimo" w:hAnsi="Arimo" w:cs="Arimo" w:eastAsia="Arimo"/>
          <w:color w:val="000000"/>
          <w:sz w:val="24"/>
          <w:szCs w:val="24"/>
        </w:rPr>
        <w:t xml:space="preserve">
</w:t>
      </w:r>
    </w:p>
    <w:p>
      <w:pPr>
        <w:numPr>
          <w:ilvl w:val="0"/>
          <w:numId w:val="7"/>
        </w:numPr>
        <w:spacing w:after="0" w:before="0" w:line="336" w:lineRule="auto"/>
        <w:jc w:val="start"/>
      </w:pPr>
      <w:r>
        <w:rPr>
          <w:rFonts w:ascii="Arimo" w:hAnsi="Arimo" w:cs="Arimo" w:eastAsia="Arimo"/>
          <w:color w:val="000000"/>
          <w:sz w:val="24"/>
          <w:szCs w:val="24"/>
        </w:rPr>
        <w:t xml:space="preserve">Private pools, water views, and private gardens sit at the top of the amenity premium ranking — listings with these features command average price-per-SQM values substantially above the market baseline.
</w:t>
      </w:r>
    </w:p>
    <w:p>
      <w:pPr>
        <w:numPr>
          <w:ilvl w:val="0"/>
          <w:numId w:val="7"/>
        </w:numPr>
        <w:spacing w:after="0" w:before="0" w:line="336" w:lineRule="auto"/>
        <w:jc w:val="start"/>
      </w:pPr>
      <w:r>
        <w:rPr>
          <w:rFonts w:ascii="Arimo" w:hAnsi="Arimo" w:cs="Arimo" w:eastAsia="Arimo"/>
          <w:color w:val="000000"/>
          <w:sz w:val="24"/>
          <w:szCs w:val="24"/>
        </w:rPr>
        <w:t xml:space="preserve">Standard functional amenities (security, balcony, covered parking) appear in a high proportion of listings but contribute comparatively lower price premiums per SQM — they are expected features, not differentiators.
</w:t>
      </w:r>
    </w:p>
    <w:p>
      <w:pPr>
        <w:numPr>
          <w:ilvl w:val="0"/>
          <w:numId w:val="7"/>
        </w:numPr>
        <w:spacing w:after="0" w:before="0" w:line="336" w:lineRule="auto"/>
        <w:jc w:val="start"/>
      </w:pPr>
      <w:r>
        <w:rPr>
          <w:rFonts w:ascii="Arimo" w:hAnsi="Arimo" w:cs="Arimo" w:eastAsia="Arimo"/>
          <w:color w:val="000000"/>
          <w:sz w:val="24"/>
          <w:szCs w:val="24"/>
        </w:rPr>
        <w:t xml:space="preserve">The amenity count vs price scatter confirms a positive but non-linear relationship: the steepest price-per-SQM gains occur in the 0–6 amenity range; above ~10 amenities, marginal price impact flattens.
</w:t>
      </w:r>
    </w:p>
    <w:p>
      <w:pPr>
        <w:numPr>
          <w:ilvl w:val="0"/>
          <w:numId w:val="7"/>
        </w:numPr>
        <w:spacing w:after="0" w:before="0" w:line="336" w:lineRule="auto"/>
        <w:jc w:val="start"/>
      </w:pPr>
      <w:r>
        <w:rPr>
          <w:rFonts w:ascii="Arimo" w:hAnsi="Arimo" w:cs="Arimo" w:eastAsia="Arimo"/>
          <w:color w:val="000000"/>
          <w:sz w:val="24"/>
          <w:szCs w:val="24"/>
        </w:rPr>
        <w:t xml:space="preserve">Furnished listings with high amenity counts cluster in the upper-right quadrant of the scatter — these represent the most premium, investment-grade rental products on the platform.
</w:t>
      </w:r>
    </w:p>
    <w:p>
      <w:pPr>
        <w:numPr>
          <w:ilvl w:val="0"/>
          <w:numId w:val="7"/>
        </w:numPr>
        <w:spacing w:after="0" w:before="0" w:line="336" w:lineRule="auto"/>
        <w:jc w:val="start"/>
      </w:pPr>
      <w:r>
        <w:rPr>
          <w:rFonts w:ascii="Arimo" w:hAnsi="Arimo" w:cs="Arimo" w:eastAsia="Arimo"/>
          <w:color w:val="000000"/>
          <w:sz w:val="24"/>
          <w:szCs w:val="24"/>
        </w:rPr>
        <w:t xml:space="preserve">The co-occurrence heatmap shows that Shared Pool co-occurs most frequently with Shared Gym and Security — confirming that resort-style amenity bundles dominate new-construction compounds.
</w:t>
      </w:r>
    </w:p>
    <w:p>
      <w:pPr>
        <w:numPr>
          <w:ilvl w:val="0"/>
          <w:numId w:val="7"/>
        </w:numPr>
        <w:spacing w:after="0" w:before="0" w:line="336" w:lineRule="auto"/>
        <w:jc w:val="start"/>
      </w:pPr>
      <w:r>
        <w:rPr>
          <w:rFonts w:ascii="Arimo" w:hAnsi="Arimo" w:cs="Arimo" w:eastAsia="Arimo"/>
          <w:color w:val="000000"/>
          <w:sz w:val="24"/>
          <w:szCs w:val="24"/>
        </w:rPr>
        <w:t xml:space="preserve">Selecting "Private Pool" as the base amenity reveals very high co-occurrence with Walk-in Closet, Maids Room, and Private Garden — these amenities cluster together in ultra-luxury villa listings.
</w:t>
      </w:r>
    </w:p>
    <w:p>
      <w:pPr>
        <w:numPr>
          <w:ilvl w:val="0"/>
          <w:numId w:val="7"/>
        </w:numPr>
        <w:spacing w:after="0" w:before="0" w:line="336" w:lineRule="auto"/>
        <w:jc w:val="start"/>
      </w:pPr>
      <w:r>
        <w:rPr>
          <w:rFonts w:ascii="Arimo" w:hAnsi="Arimo" w:cs="Arimo" w:eastAsia="Arimo"/>
          <w:color w:val="000000"/>
          <w:sz w:val="24"/>
          <w:szCs w:val="24"/>
        </w:rPr>
        <w:t xml:space="preserve">Semi-furnished listings form a distinct middle cluster in the scatter — priced above unfurnished but below fully furnished, with moderate amenity counts.
</w:t>
      </w:r>
    </w:p>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9030"/>
      </w:tblGrid>
      <w:tr>
        <w:tc>
          <w:tcPr>
            <w:tcW w:w="9030" w:type="dxa"/>
            <w:shd w:val="clear" w:color="auto" w:fill="000000"/>
            <w:tcMar>
              <w:top w:w="0"/>
              <w:start w:w="0"/>
              <w:bottom w:w="0"/>
              <w:end w:w="0"/>
            </w:tcMar>
          </w:tcPr>
          <w:p>
            <w:pPr>
              <w:spacing w:after="120" w:before="120" w:line="336" w:lineRule="auto"/>
              <w:ind w:firstLine="0" w:start="0"/>
              <w:jc w:val="start"/>
            </w:pPr>
            <w:r>
              <w:rPr>
                <w:rFonts w:ascii="Bricolage Grotesque Bold" w:hAnsi="Bricolage Grotesque Bold" w:cs="Bricolage Grotesque Bold" w:eastAsia="Bricolage Grotesque Bold"/>
                <w:b/>
                <w:bCs/>
                <w:color w:val="ffffff"/>
                <w:sz w:val="40"/>
                <w:szCs w:val="40"/>
              </w:rPr>
              <w:t xml:space="preserve">2.2 Geospatial &amp; Yield Explorer
</w:t>
            </w:r>
          </w:p>
        </w:tc>
      </w:tr>
    </w:tbl>
    <w:p>
      <w:pPr>
        <w:spacing w:after="120" w:before="120" w:line="336" w:lineRule="auto"/>
        <w:ind w:firstLine="0" w:start="0"/>
        <w:jc w:val="start"/>
      </w:pPr>
      <w:r>
        <w:rPr>
          <w:rFonts w:ascii="Arimo" w:hAnsi="Arimo" w:cs="Arimo" w:eastAsia="Arimo"/>
          <w:color w:val="000000"/>
          <w:sz w:val="24"/>
          <w:szCs w:val="24"/>
        </w:rPr>
        <w:t xml:space="preserve">Dashboard 2 combines a coordinate-level point map of all listings, a subdistrict/compound price ranking, a bubble map of rental yield by town, and a dual-axis buy-vs-rent comparison by district.
</w:t>
      </w:r>
    </w:p>
    <w:p>
      <w:pPr>
        <w:spacing w:after="120" w:before="120" w:line="336" w:lineRule="auto"/>
        <w:ind w:firstLine="0" w:start="0"/>
        <w:jc w:val="start"/>
      </w:pPr>
      <w:r>
        <w:rPr>
          <w:rFonts w:ascii="Arimo Bold" w:hAnsi="Arimo Bold" w:cs="Arimo Bold" w:eastAsia="Arimo Bold"/>
          <w:b/>
          <w:bCs/>
          <w:color w:val="000000"/>
          <w:sz w:val="24"/>
          <w:szCs w:val="24"/>
        </w:rPr>
        <w:t>Key Insights — Geospatial &amp; Yield Explorer</w:t>
      </w:r>
      <w:r>
        <w:rPr>
          <w:rFonts w:ascii="Arimo" w:hAnsi="Arimo" w:cs="Arimo" w:eastAsia="Arimo"/>
          <w:color w:val="000000"/>
          <w:sz w:val="24"/>
          <w:szCs w:val="24"/>
        </w:rPr>
        <w:t xml:space="preserve">
</w:t>
      </w:r>
    </w:p>
    <w:p>
      <w:pPr>
        <w:numPr>
          <w:ilvl w:val="0"/>
          <w:numId w:val="8"/>
        </w:numPr>
        <w:spacing w:after="0" w:before="0" w:line="336" w:lineRule="auto"/>
        <w:jc w:val="start"/>
      </w:pPr>
      <w:r>
        <w:rPr>
          <w:rFonts w:ascii="Arimo" w:hAnsi="Arimo" w:cs="Arimo" w:eastAsia="Arimo"/>
          <w:color w:val="000000"/>
          <w:sz w:val="24"/>
          <w:szCs w:val="24"/>
        </w:rPr>
        <w:t xml:space="preserve">The point map immediately reveals geographic clustering of high-value properties — New Cairo and Zayed show dense red-orange clusters indicating premium price zones, while peripheral areas display green clusters (affordable bands).
</w:t>
      </w:r>
    </w:p>
    <w:p>
      <w:pPr>
        <w:numPr>
          <w:ilvl w:val="0"/>
          <w:numId w:val="8"/>
        </w:numPr>
        <w:spacing w:after="0" w:before="0" w:line="336" w:lineRule="auto"/>
        <w:jc w:val="start"/>
      </w:pPr>
      <w:r>
        <w:rPr>
          <w:rFonts w:ascii="Arimo" w:hAnsi="Arimo" w:cs="Arimo" w:eastAsia="Arimo"/>
          <w:color w:val="000000"/>
          <w:sz w:val="24"/>
          <w:szCs w:val="24"/>
        </w:rPr>
        <w:t xml:space="preserve">Compound-level (subdistrict) ranking shows sharper price differentiation than city or district averages — two compounds 1 km apart can differ by 40–60% in median price per SQM, reflecting brand, amenity, and location-within-compound effects.
</w:t>
      </w:r>
    </w:p>
    <w:p>
      <w:pPr>
        <w:numPr>
          <w:ilvl w:val="0"/>
          <w:numId w:val="8"/>
        </w:numPr>
        <w:spacing w:after="0" w:before="0" w:line="336" w:lineRule="auto"/>
        <w:jc w:val="start"/>
      </w:pPr>
      <w:r>
        <w:rPr>
          <w:rFonts w:ascii="Arimo" w:hAnsi="Arimo" w:cs="Arimo" w:eastAsia="Arimo"/>
          <w:color w:val="000000"/>
          <w:sz w:val="24"/>
          <w:szCs w:val="24"/>
        </w:rPr>
        <w:t xml:space="preserve">The market reference line on the compound ranking chart allows instant identification of which compounds are above vs below market — crucial for relative pricing intelligence.
</w:t>
      </w:r>
    </w:p>
    <w:p>
      <w:pPr>
        <w:numPr>
          <w:ilvl w:val="0"/>
          <w:numId w:val="8"/>
        </w:numPr>
        <w:spacing w:after="0" w:before="0" w:line="336" w:lineRule="auto"/>
        <w:jc w:val="start"/>
      </w:pPr>
      <w:r>
        <w:rPr>
          <w:rFonts w:ascii="Arimo" w:hAnsi="Arimo" w:cs="Arimo" w:eastAsia="Arimo"/>
          <w:color w:val="000000"/>
          <w:sz w:val="24"/>
          <w:szCs w:val="24"/>
        </w:rPr>
        <w:t xml:space="preserve">Towns with the highest rental yield (typically 7–10%+) are not necessarily the most expensive — mid-tier towns with balanced buy and rent markets sometimes outperform premium areas on yield.
</w:t>
      </w:r>
    </w:p>
    <w:p>
      <w:pPr>
        <w:numPr>
          <w:ilvl w:val="0"/>
          <w:numId w:val="8"/>
        </w:numPr>
        <w:spacing w:after="0" w:before="0" w:line="336" w:lineRule="auto"/>
        <w:jc w:val="start"/>
      </w:pPr>
      <w:r>
        <w:rPr>
          <w:rFonts w:ascii="Arimo" w:hAnsi="Arimo" w:cs="Arimo" w:eastAsia="Arimo"/>
          <w:color w:val="000000"/>
          <w:sz w:val="24"/>
          <w:szCs w:val="24"/>
        </w:rPr>
        <w:t xml:space="preserve">The dual-axis Buy vs Rent chart by district confirms that rental price per SQM tracks buy price per SQM directionally but with compression — premium buy districts do not command proportionally higher rent, resulting in lower yields at the top end.
</w:t>
      </w:r>
    </w:p>
    <w:p>
      <w:pPr>
        <w:numPr>
          <w:ilvl w:val="0"/>
          <w:numId w:val="8"/>
        </w:numPr>
        <w:spacing w:after="0" w:before="0" w:line="336" w:lineRule="auto"/>
        <w:jc w:val="start"/>
      </w:pPr>
      <w:r>
        <w:rPr>
          <w:rFonts w:ascii="Arimo" w:hAnsi="Arimo" w:cs="Arimo" w:eastAsia="Arimo"/>
          <w:color w:val="000000"/>
          <w:sz w:val="24"/>
          <w:szCs w:val="24"/>
        </w:rPr>
        <w:t xml:space="preserve">Selecting a city on the point map filters all right-side panels simultaneously — this allows a rapid deep-dive into any city without losing geographic context from the map.
</w:t>
      </w:r>
    </w:p>
    <w:p>
      <w:pPr>
        <w:numPr>
          <w:ilvl w:val="0"/>
          <w:numId w:val="8"/>
        </w:numPr>
        <w:spacing w:after="0" w:before="0" w:line="336" w:lineRule="auto"/>
        <w:jc w:val="start"/>
      </w:pPr>
      <w:r>
        <w:rPr>
          <w:rFonts w:ascii="Arimo" w:hAnsi="Arimo" w:cs="Arimo" w:eastAsia="Arimo"/>
          <w:color w:val="000000"/>
          <w:sz w:val="24"/>
          <w:szCs w:val="24"/>
        </w:rPr>
        <w:t xml:space="preserve">Coastal and North Coast districts show inverted seasonality — vacation/chalet listings cluster at high-price coordinates but represent thin annual supply compared to year-round residential markets.
</w:t>
      </w:r>
    </w:p>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9030"/>
      </w:tblGrid>
      <w:tr>
        <w:tc>
          <w:tcPr>
            <w:tcW w:w="9030" w:type="dxa"/>
            <w:shd w:val="clear" w:color="auto" w:fill="000000"/>
            <w:tcMar>
              <w:top w:w="0"/>
              <w:start w:w="0"/>
              <w:bottom w:w="0"/>
              <w:end w:w="0"/>
            </w:tcMar>
          </w:tcPr>
          <w:p>
            <w:pPr>
              <w:spacing w:after="120" w:before="120" w:line="336" w:lineRule="auto"/>
              <w:ind w:firstLine="0" w:start="0"/>
              <w:jc w:val="start"/>
            </w:pPr>
            <w:r>
              <w:rPr>
                <w:rFonts w:ascii="Bricolage Grotesque Bold" w:hAnsi="Bricolage Grotesque Bold" w:cs="Bricolage Grotesque Bold" w:eastAsia="Bricolage Grotesque Bold"/>
                <w:b/>
                <w:bCs/>
                <w:color w:val="ffffff"/>
                <w:sz w:val="40"/>
                <w:szCs w:val="40"/>
              </w:rPr>
              <w:t xml:space="preserve">2.3 Temporal Patterns &amp; Price Momentum
</w:t>
            </w:r>
          </w:p>
        </w:tc>
      </w:tr>
    </w:tbl>
    <w:p>
      <w:pPr>
        <w:spacing w:after="120" w:before="120" w:line="336" w:lineRule="auto"/>
        <w:ind w:firstLine="0" w:start="0"/>
        <w:jc w:val="start"/>
      </w:pPr>
      <w:r>
        <w:rPr>
          <w:rFonts w:ascii="Arimo" w:hAnsi="Arimo" w:cs="Arimo" w:eastAsia="Arimo"/>
          <w:color w:val="000000"/>
          <w:sz w:val="24"/>
          <w:szCs w:val="24"/>
        </w:rPr>
        <w:t xml:space="preserve">Dashboard 3 provides Tableau-specific temporal depth: a Month × Day activity heatmap, a quarterly dual-axis price trend, multi-city price trajectories over time, a listing age distribution by quarter, an animated listing velocity scatter, and a season × month-period grouped bar.
</w:t>
      </w:r>
    </w:p>
    <w:p>
      <w:pPr>
        <w:spacing w:after="120" w:before="120" w:line="336" w:lineRule="auto"/>
        <w:ind w:firstLine="0" w:start="0"/>
        <w:jc w:val="start"/>
      </w:pPr>
      <w:r>
        <w:rPr>
          <w:rFonts w:ascii="Arimo Bold" w:hAnsi="Arimo Bold" w:cs="Arimo Bold" w:eastAsia="Arimo Bold"/>
          <w:b/>
          <w:bCs/>
          <w:color w:val="000000"/>
          <w:sz w:val="24"/>
          <w:szCs w:val="24"/>
        </w:rPr>
        <w:t>Key Insights — Temporal Patterns &amp; Price Momentum</w:t>
      </w:r>
      <w:r>
        <w:rPr>
          <w:rFonts w:ascii="Arimo" w:hAnsi="Arimo" w:cs="Arimo" w:eastAsia="Arimo"/>
          <w:color w:val="000000"/>
          <w:sz w:val="24"/>
          <w:szCs w:val="24"/>
        </w:rPr>
        <w:t xml:space="preserve">
</w:t>
      </w:r>
    </w:p>
    <w:p>
      <w:pPr>
        <w:numPr>
          <w:ilvl w:val="0"/>
          <w:numId w:val="9"/>
        </w:numPr>
        <w:spacing w:after="0" w:before="0" w:line="336" w:lineRule="auto"/>
        <w:jc w:val="start"/>
      </w:pPr>
      <w:r>
        <w:rPr>
          <w:rFonts w:ascii="Arimo" w:hAnsi="Arimo" w:cs="Arimo" w:eastAsia="Arimo"/>
          <w:color w:val="000000"/>
          <w:sz w:val="24"/>
          <w:szCs w:val="24"/>
        </w:rPr>
        <w:t xml:space="preserve">The Month × Day heatmap reveals that Thursday and Sunday generate peak listing activity in the Egyptian market — agents appear to schedule listings ahead of the weekend browsing cycle.
</w:t>
      </w:r>
    </w:p>
    <w:p>
      <w:pPr>
        <w:numPr>
          <w:ilvl w:val="0"/>
          <w:numId w:val="9"/>
        </w:numPr>
        <w:spacing w:after="0" w:before="0" w:line="336" w:lineRule="auto"/>
        <w:jc w:val="start"/>
      </w:pPr>
      <w:r>
        <w:rPr>
          <w:rFonts w:ascii="Arimo" w:hAnsi="Arimo" w:cs="Arimo" w:eastAsia="Arimo"/>
          <w:color w:val="000000"/>
          <w:sz w:val="24"/>
          <w:szCs w:val="24"/>
        </w:rPr>
        <w:t xml:space="preserve">January and September are the two highest-activity months in the heatmap — January driven by post-holiday market restarts, September by the academic-year relocation cycle.
</w:t>
      </w:r>
    </w:p>
    <w:p>
      <w:pPr>
        <w:numPr>
          <w:ilvl w:val="0"/>
          <w:numId w:val="9"/>
        </w:numPr>
        <w:spacing w:after="0" w:before="0" w:line="336" w:lineRule="auto"/>
        <w:jc w:val="start"/>
      </w:pPr>
      <w:r>
        <w:rPr>
          <w:rFonts w:ascii="Arimo" w:hAnsi="Arimo" w:cs="Arimo" w:eastAsia="Arimo"/>
          <w:color w:val="000000"/>
          <w:sz w:val="24"/>
          <w:szCs w:val="24"/>
        </w:rPr>
        <w:t xml:space="preserve">The quarterly dual-axis price trend shows Buy price per SQM trending upward across 2024–2026, while Rent price per SQM shows flatter growth — this compression is gradually narrowing rental yields.
</w:t>
      </w:r>
    </w:p>
    <w:p>
      <w:pPr>
        <w:numPr>
          <w:ilvl w:val="0"/>
          <w:numId w:val="9"/>
        </w:numPr>
        <w:spacing w:after="0" w:before="0" w:line="336" w:lineRule="auto"/>
        <w:jc w:val="start"/>
      </w:pPr>
      <w:r>
        <w:rPr>
          <w:rFonts w:ascii="Arimo" w:hAnsi="Arimo" w:cs="Arimo" w:eastAsia="Arimo"/>
          <w:color w:val="000000"/>
          <w:sz w:val="24"/>
          <w:szCs w:val="24"/>
        </w:rPr>
        <w:t xml:space="preserve">City price trajectory lines diverge significantly after Q2 2025 — premium cities (New Cairo, Sheikh Zayed) accelerate upward while more affordable cities show moderate growth, indicating a bifurcating market.
</w:t>
      </w:r>
    </w:p>
    <w:p>
      <w:pPr>
        <w:numPr>
          <w:ilvl w:val="0"/>
          <w:numId w:val="9"/>
        </w:numPr>
        <w:spacing w:after="0" w:before="0" w:line="336" w:lineRule="auto"/>
        <w:jc w:val="start"/>
      </w:pPr>
      <w:r>
        <w:rPr>
          <w:rFonts w:ascii="Arimo" w:hAnsi="Arimo" w:cs="Arimo" w:eastAsia="Arimo"/>
          <w:color w:val="000000"/>
          <w:sz w:val="24"/>
          <w:szCs w:val="24"/>
        </w:rPr>
        <w:t xml:space="preserve">The listing age distribution stacked bar chart shows a rising proportion of 90-day+ listings over time — a signal that absorption is slowing relative to new supply entering the market.
</w:t>
      </w:r>
    </w:p>
    <w:p>
      <w:pPr>
        <w:numPr>
          <w:ilvl w:val="0"/>
          <w:numId w:val="9"/>
        </w:numPr>
        <w:spacing w:after="0" w:before="0" w:line="336" w:lineRule="auto"/>
        <w:jc w:val="start"/>
      </w:pPr>
      <w:r>
        <w:rPr>
          <w:rFonts w:ascii="Arimo" w:hAnsi="Arimo" w:cs="Arimo" w:eastAsia="Arimo"/>
          <w:color w:val="000000"/>
          <w:sz w:val="24"/>
          <w:szCs w:val="24"/>
        </w:rPr>
        <w:t xml:space="preserve">Animated velocity scatter: Cairo and Giza bubbles trend toward shorter days-on-market over time despite rising prices — confirming they are the most liquid markets. Coastal cities move rightward (longer days on market) during off-peak quarters.
</w:t>
      </w:r>
    </w:p>
    <w:p>
      <w:pPr>
        <w:numPr>
          <w:ilvl w:val="0"/>
          <w:numId w:val="9"/>
        </w:numPr>
        <w:spacing w:after="0" w:before="0" w:line="336" w:lineRule="auto"/>
        <w:jc w:val="start"/>
      </w:pPr>
      <w:r>
        <w:rPr>
          <w:rFonts w:ascii="Arimo" w:hAnsi="Arimo" w:cs="Arimo" w:eastAsia="Arimo"/>
          <w:color w:val="000000"/>
          <w:sz w:val="24"/>
          <w:szCs w:val="24"/>
        </w:rPr>
        <w:t xml:space="preserve">Season × Month Period analysis confirms that listings published in the "Beginning" of Spring months (early March and April) are most likely to fall in the highest-activity periods — the optimal window for new listing launches.
</w:t>
      </w:r>
    </w:p>
    <w:p>
      <w:pPr>
        <w:numPr>
          <w:ilvl w:val="0"/>
          <w:numId w:val="9"/>
        </w:numPr>
        <w:spacing w:after="0" w:before="0" w:line="336" w:lineRule="auto"/>
        <w:jc w:val="start"/>
      </w:pPr>
      <w:r>
        <w:rPr>
          <w:rFonts w:ascii="Arimo" w:hAnsi="Arimo" w:cs="Arimo" w:eastAsia="Arimo"/>
          <w:color w:val="000000"/>
          <w:sz w:val="24"/>
          <w:szCs w:val="24"/>
        </w:rPr>
        <w:t xml:space="preserve">Price momentum (quarterly trend) is positive for buy listings in premium cities but the rate of appreciation is decelerating in 2026 relative to 2025, suggesting the market may be approaching an inflection point.
</w:t>
      </w:r>
    </w:p>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9030"/>
      </w:tblGrid>
      <w:tr>
        <w:tc>
          <w:tcPr>
            <w:tcW w:w="9030" w:type="dxa"/>
            <w:shd w:val="clear" w:color="auto" w:fill="000000"/>
            <w:tcMar>
              <w:top w:w="0"/>
              <w:start w:w="0"/>
              <w:bottom w:w="0"/>
              <w:end w:w="0"/>
            </w:tcMar>
          </w:tcPr>
          <w:p>
            <w:pPr>
              <w:spacing w:after="120" w:before="120" w:line="336" w:lineRule="auto"/>
              <w:ind w:firstLine="0" w:start="0"/>
              <w:jc w:val="start"/>
            </w:pPr>
            <w:r>
              <w:rPr>
                <w:rFonts w:ascii="Bricolage Grotesque Bold" w:hAnsi="Bricolage Grotesque Bold" w:cs="Bricolage Grotesque Bold" w:eastAsia="Bricolage Grotesque Bold"/>
                <w:b/>
                <w:bCs/>
                <w:color w:val="ffffff"/>
                <w:sz w:val="40"/>
                <w:szCs w:val="40"/>
              </w:rPr>
              <w:t xml:space="preserve">Summary &amp; Strategic Recommendations
</w:t>
            </w:r>
          </w:p>
        </w:tc>
      </w:tr>
    </w:tbl>
    <w:tbl>
      <w:tblPr>
        <w:tblW w:w="9030" w:type="dxa"/>
        <w:tblBorders>
          <w:top w:val="single" w:color="dbdbdb" w:sz="6"/>
          <w:start w:color="dbdbdb" w:sz="6" w:val="single"/>
          <w:left w:val="single"/>
          <w:bottom w:val="single" w:color="dbdbdb" w:sz="6"/>
          <w:end w:color="dbdbdb" w:sz="6" w:val="single"/>
          <w:right w:val="single"/>
          <w:insideH w:val="single" w:color="dbdbdb" w:sz="6"/>
          <w:insideV w:val="single" w:color="dbdbdb" w:sz="6"/>
        </w:tblBorders>
      </w:tblPr>
      <w:tblGrid>
        <w:gridCol w:w="4515"/>
        <w:gridCol w:w="4515"/>
      </w:tblGrid>
      <w:tr>
        <w:tc>
          <w:tcPr>
            <w:tcW w:w="4515" w:type="dxa"/>
            <w:shd w:val="clear" w:color="auto" w:fill="000000"/>
            <w:tcMar>
              <w:top w:w="180"/>
              <w:start w:w="180"/>
              <w:bottom w:w="180"/>
              <w:end w:w="180"/>
            </w:tcMar>
          </w:tcPr>
          <w:p>
            <w:pPr>
              <w:spacing w:after="120" w:before="120" w:line="336" w:lineRule="auto"/>
              <w:ind w:firstLine="0" w:start="0"/>
              <w:jc w:val="start"/>
            </w:pPr>
            <w:r>
              <w:rPr>
                <w:rFonts w:ascii="Arimo Bold" w:hAnsi="Arimo Bold" w:cs="Arimo Bold" w:eastAsia="Arimo Bold"/>
                <w:b/>
                <w:bCs/>
                <w:color w:val="ffffff"/>
                <w:sz w:val="24"/>
                <w:szCs w:val="24"/>
              </w:rPr>
              <w:t xml:space="preserve">Metric
</w:t>
            </w:r>
          </w:p>
        </w:tc>
        <w:tc>
          <w:tcPr>
            <w:tcW w:w="4515" w:type="dxa"/>
            <w:shd w:val="clear" w:color="auto" w:fill="000000"/>
            <w:tcMar>
              <w:top w:w="180"/>
              <w:start w:w="180"/>
              <w:bottom w:w="180"/>
              <w:end w:w="180"/>
            </w:tcMar>
          </w:tcPr>
          <w:p>
            <w:pPr>
              <w:spacing w:after="120" w:before="120" w:line="336" w:lineRule="auto"/>
              <w:ind w:firstLine="0" w:start="0"/>
              <w:jc w:val="start"/>
            </w:pPr>
            <w:r>
              <w:rPr>
                <w:rFonts w:ascii="Arimo Bold" w:hAnsi="Arimo Bold" w:cs="Arimo Bold" w:eastAsia="Arimo Bold"/>
                <w:b/>
                <w:bCs/>
                <w:color w:val="ffffff"/>
                <w:sz w:val="24"/>
                <w:szCs w:val="24"/>
              </w:rPr>
              <w:t xml:space="preserve">Insight
</w:t>
            </w:r>
          </w:p>
        </w:tc>
      </w:tr>
      <w:tr>
        <w:tc>
          <w:tcPr>
            <w:tcW w:w="4515" w:type="dxa"/>
            <w:tcMar>
              <w:top w:w="180"/>
              <w:start w:w="180"/>
              <w:bottom w:w="180"/>
              <w:end w:w="180"/>
            </w:tcMar>
          </w:tcPr>
          <w:p>
            <w:pPr>
              <w:spacing w:after="120" w:before="120" w:line="336" w:lineRule="auto"/>
              <w:ind w:firstLine="0" w:start="0"/>
              <w:jc w:val="start"/>
            </w:pPr>
            <w:r>
              <w:rPr>
                <w:rFonts w:ascii="Arimo" w:hAnsi="Arimo" w:cs="Arimo" w:eastAsia="Arimo"/>
                <w:color w:val="000000"/>
                <w:sz w:val="24"/>
                <w:szCs w:val="24"/>
              </w:rPr>
              <w:t xml:space="preserve">Market Structure
</w:t>
            </w:r>
          </w:p>
        </w:tc>
        <w:tc>
          <w:tcPr>
            <w:tcW w:w="4515" w:type="dxa"/>
            <w:tcMar>
              <w:top w:w="180"/>
              <w:start w:w="180"/>
              <w:bottom w:w="180"/>
              <w:end w:w="180"/>
            </w:tcMar>
          </w:tcPr>
          <w:p>
            <w:pPr>
              <w:spacing w:after="120" w:before="120" w:line="336" w:lineRule="auto"/>
              <w:ind w:firstLine="0" w:start="0"/>
              <w:jc w:val="start"/>
            </w:pPr>
            <w:r>
              <w:rPr>
                <w:rFonts w:ascii="Arimo" w:hAnsi="Arimo" w:cs="Arimo" w:eastAsia="Arimo"/>
                <w:color w:val="000000"/>
                <w:sz w:val="24"/>
                <w:szCs w:val="24"/>
              </w:rPr>
              <w:t xml:space="preserve">Apartment-dominant, Cairo-centric, with a bifurcating premium tier growing faster than the mainstream market.
</w:t>
            </w:r>
          </w:p>
        </w:tc>
      </w:tr>
      <w:tr>
        <w:tc>
          <w:tcPr>
            <w:tcW w:w="4515" w:type="dxa"/>
            <w:tcMar>
              <w:top w:w="180"/>
              <w:start w:w="180"/>
              <w:bottom w:w="180"/>
              <w:end w:w="180"/>
            </w:tcMar>
          </w:tcPr>
          <w:p>
            <w:pPr>
              <w:spacing w:after="120" w:before="120" w:line="336" w:lineRule="auto"/>
              <w:ind w:firstLine="0" w:start="0"/>
              <w:jc w:val="start"/>
            </w:pPr>
            <w:r>
              <w:rPr>
                <w:rFonts w:ascii="Arimo" w:hAnsi="Arimo" w:cs="Arimo" w:eastAsia="Arimo"/>
                <w:color w:val="000000"/>
                <w:sz w:val="24"/>
                <w:szCs w:val="24"/>
              </w:rPr>
              <w:t xml:space="preserve">Price Drivers
</w:t>
            </w:r>
          </w:p>
        </w:tc>
        <w:tc>
          <w:tcPr>
            <w:tcW w:w="4515" w:type="dxa"/>
            <w:tcMar>
              <w:top w:w="180"/>
              <w:start w:w="180"/>
              <w:bottom w:w="180"/>
              <w:end w:w="180"/>
            </w:tcMar>
          </w:tcPr>
          <w:p>
            <w:pPr>
              <w:spacing w:after="120" w:before="120" w:line="336" w:lineRule="auto"/>
              <w:ind w:firstLine="0" w:start="0"/>
              <w:jc w:val="start"/>
            </w:pPr>
            <w:r>
              <w:rPr>
                <w:rFonts w:ascii="Arimo" w:hAnsi="Arimo" w:cs="Arimo" w:eastAsia="Arimo"/>
                <w:color w:val="000000"/>
                <w:sz w:val="24"/>
                <w:szCs w:val="24"/>
              </w:rPr>
              <w:t xml:space="preserve">Location (compound &gt; district &gt; city), amenity bundle quality, and furnished status are the primary price-per-SQM determinants.
</w:t>
            </w:r>
          </w:p>
        </w:tc>
      </w:tr>
      <w:tr>
        <w:tc>
          <w:tcPr>
            <w:tcW w:w="4515" w:type="dxa"/>
            <w:tcMar>
              <w:top w:w="180"/>
              <w:start w:w="180"/>
              <w:bottom w:w="180"/>
              <w:end w:w="180"/>
            </w:tcMar>
          </w:tcPr>
          <w:p>
            <w:pPr>
              <w:spacing w:after="120" w:before="120" w:line="336" w:lineRule="auto"/>
              <w:ind w:firstLine="0" w:start="0"/>
              <w:jc w:val="start"/>
            </w:pPr>
            <w:r>
              <w:rPr>
                <w:rFonts w:ascii="Arimo" w:hAnsi="Arimo" w:cs="Arimo" w:eastAsia="Arimo"/>
                <w:color w:val="000000"/>
                <w:sz w:val="24"/>
                <w:szCs w:val="24"/>
              </w:rPr>
              <w:t xml:space="preserve">Yield Opportunities
</w:t>
            </w:r>
          </w:p>
        </w:tc>
        <w:tc>
          <w:tcPr>
            <w:tcW w:w="4515" w:type="dxa"/>
            <w:tcMar>
              <w:top w:w="180"/>
              <w:start w:w="180"/>
              <w:bottom w:w="180"/>
              <w:end w:w="180"/>
            </w:tcMar>
          </w:tcPr>
          <w:p>
            <w:pPr>
              <w:spacing w:after="120" w:before="120" w:line="336" w:lineRule="auto"/>
              <w:ind w:firstLine="0" w:start="0"/>
              <w:jc w:val="start"/>
            </w:pPr>
            <w:r>
              <w:rPr>
                <w:rFonts w:ascii="Arimo" w:hAnsi="Arimo" w:cs="Arimo" w:eastAsia="Arimo"/>
                <w:color w:val="000000"/>
                <w:sz w:val="24"/>
                <w:szCs w:val="24"/>
              </w:rPr>
              <w:t xml:space="preserve">Mid-tier towns with balanced buy/rent supply offer the best annual rental yields (7–10%); ultra-premium areas are 3–5% yield zones.
</w:t>
            </w:r>
          </w:p>
        </w:tc>
      </w:tr>
      <w:tr>
        <w:tc>
          <w:tcPr>
            <w:tcW w:w="4515" w:type="dxa"/>
            <w:tcMar>
              <w:top w:w="180"/>
              <w:start w:w="180"/>
              <w:bottom w:w="180"/>
              <w:end w:w="180"/>
            </w:tcMar>
          </w:tcPr>
          <w:p>
            <w:pPr>
              <w:spacing w:after="120" w:before="120" w:line="336" w:lineRule="auto"/>
              <w:ind w:firstLine="0" w:start="0"/>
              <w:jc w:val="start"/>
            </w:pPr>
            <w:r>
              <w:rPr>
                <w:rFonts w:ascii="Arimo" w:hAnsi="Arimo" w:cs="Arimo" w:eastAsia="Arimo"/>
                <w:color w:val="000000"/>
                <w:sz w:val="24"/>
                <w:szCs w:val="24"/>
              </w:rPr>
              <w:t xml:space="preserve">Agent Landscape
</w:t>
            </w:r>
          </w:p>
        </w:tc>
        <w:tc>
          <w:tcPr>
            <w:tcW w:w="4515" w:type="dxa"/>
            <w:tcMar>
              <w:top w:w="180"/>
              <w:start w:w="180"/>
              <w:bottom w:w="180"/>
              <w:end w:w="180"/>
            </w:tcMar>
          </w:tcPr>
          <w:p>
            <w:pPr>
              <w:spacing w:after="120" w:before="120" w:line="336" w:lineRule="auto"/>
              <w:ind w:firstLine="0" w:start="0"/>
              <w:jc w:val="start"/>
            </w:pPr>
            <w:r>
              <w:rPr>
                <w:rFonts w:ascii="Arimo" w:hAnsi="Arimo" w:cs="Arimo" w:eastAsia="Arimo"/>
                <w:color w:val="000000"/>
                <w:sz w:val="24"/>
                <w:szCs w:val="24"/>
              </w:rPr>
              <w:t xml:space="preserve">Super-agents specialise in premium listings; volume leaders are not price leaders — strategy and segment must be matched.
</w:t>
            </w:r>
          </w:p>
        </w:tc>
      </w:tr>
      <w:tr>
        <w:tc>
          <w:tcPr>
            <w:tcW w:w="4515" w:type="dxa"/>
            <w:tcMar>
              <w:top w:w="180"/>
              <w:start w:w="180"/>
              <w:bottom w:w="180"/>
              <w:end w:w="180"/>
            </w:tcMar>
          </w:tcPr>
          <w:p>
            <w:pPr>
              <w:spacing w:after="120" w:before="120" w:line="336" w:lineRule="auto"/>
              <w:ind w:firstLine="0" w:start="0"/>
              <w:jc w:val="start"/>
            </w:pPr>
            <w:r>
              <w:rPr>
                <w:rFonts w:ascii="Arimo" w:hAnsi="Arimo" w:cs="Arimo" w:eastAsia="Arimo"/>
                <w:color w:val="000000"/>
                <w:sz w:val="24"/>
                <w:szCs w:val="24"/>
              </w:rPr>
              <w:t xml:space="preserve">Timing
</w:t>
            </w:r>
          </w:p>
        </w:tc>
        <w:tc>
          <w:tcPr>
            <w:tcW w:w="4515" w:type="dxa"/>
            <w:tcMar>
              <w:top w:w="180"/>
              <w:start w:w="180"/>
              <w:bottom w:w="180"/>
              <w:end w:w="180"/>
            </w:tcMar>
          </w:tcPr>
          <w:p>
            <w:pPr>
              <w:spacing w:after="120" w:before="120" w:line="336" w:lineRule="auto"/>
              <w:ind w:firstLine="0" w:start="0"/>
              <w:jc w:val="start"/>
            </w:pPr>
            <w:r>
              <w:rPr>
                <w:rFonts w:ascii="Arimo" w:hAnsi="Arimo" w:cs="Arimo" w:eastAsia="Arimo"/>
                <w:color w:val="000000"/>
                <w:sz w:val="24"/>
                <w:szCs w:val="24"/>
              </w:rPr>
              <w:t xml:space="preserve">Spring (March–May) and post-summer (September) are peak activity windows; mid-week Thursday publishing maximises listing visibility.
</w:t>
            </w:r>
          </w:p>
        </w:tc>
      </w:tr>
      <w:tr>
        <w:tc>
          <w:tcPr>
            <w:tcW w:w="4515" w:type="dxa"/>
            <w:tcMar>
              <w:top w:w="180"/>
              <w:start w:w="180"/>
              <w:bottom w:w="180"/>
              <w:end w:w="180"/>
            </w:tcMar>
          </w:tcPr>
          <w:p>
            <w:pPr>
              <w:spacing w:after="120" w:before="120" w:line="336" w:lineRule="auto"/>
              <w:ind w:firstLine="0" w:start="0"/>
              <w:jc w:val="start"/>
            </w:pPr>
            <w:r>
              <w:rPr>
                <w:rFonts w:ascii="Arimo" w:hAnsi="Arimo" w:cs="Arimo" w:eastAsia="Arimo"/>
                <w:color w:val="000000"/>
                <w:sz w:val="24"/>
                <w:szCs w:val="24"/>
              </w:rPr>
              <w:t xml:space="preserve">Risk Signals
</w:t>
            </w:r>
          </w:p>
        </w:tc>
        <w:tc>
          <w:tcPr>
            <w:tcW w:w="4515" w:type="dxa"/>
            <w:tcMar>
              <w:top w:w="180"/>
              <w:start w:w="180"/>
              <w:bottom w:w="180"/>
              <w:end w:w="180"/>
            </w:tcMar>
          </w:tcPr>
          <w:p>
            <w:pPr>
              <w:spacing w:after="120" w:before="120" w:line="336" w:lineRule="auto"/>
              <w:ind w:firstLine="0" w:start="0"/>
              <w:jc w:val="start"/>
            </w:pPr>
            <w:r>
              <w:rPr>
                <w:rFonts w:ascii="Arimo" w:hAnsi="Arimo" w:cs="Arimo" w:eastAsia="Arimo"/>
                <w:color w:val="000000"/>
                <w:sz w:val="24"/>
                <w:szCs w:val="24"/>
              </w:rPr>
              <w:t xml:space="preserve">Rising stale listing % and slowing price momentum in 2026 suggest absorption is lagging new supply — pricing accuracy is critical.
</w:t>
            </w:r>
          </w:p>
        </w:tc>
      </w:tr>
    </w:tbl>
    <w:p>
      <w:pPr>
        <w:spacing w:after="120" w:before="120" w:line="336" w:lineRule="auto"/>
        <w:ind w:firstLine="0" w:start="0"/>
        <w:jc w:val="start"/>
      </w:pPr>
      <w:r>
        <w:rPr>
          <w:rFonts w:ascii="Arimo" w:hAnsi="Arimo" w:cs="Arimo" w:eastAsia="Arimo"/>
          <w:color w:val="000000"/>
          <w:sz w:val="24"/>
          <w:szCs w:val="24"/>
        </w:rPr>
        <w:t xml:space="preserve">
</w:t>
      </w:r>
    </w:p>
    <w:sectPr>
      <w:pgSz w:w="11910" w:h="16845"/>
    </w:sectPr>
  </w:body>
</w:document>
</file>

<file path=word/fontTable.xml><?xml version="1.0" encoding="utf-8"?>
<w:fonts xmlns:w="http://schemas.openxmlformats.org/wordprocessingml/2006/main" xmlns:r="http://schemas.openxmlformats.org/officeDocument/2006/relationships">
  <w:font w:name="Arimo Bold Italics">
    <w:panose1 w:val="020B0704020202090204"/>
    <w:charset w:characterSet="1"/>
    <w:embedBoldItalic r:id="rId1"/>
  </w:font>
  <w:font w:name="Arimo Bold">
    <w:panose1 w:val="020B0704020202020204"/>
    <w:charset w:characterSet="1"/>
    <w:embedBold r:id="rId2"/>
  </w:font>
  <w:font w:name="Arimo">
    <w:panose1 w:val="020B0604020202020204"/>
    <w:charset w:characterSet="1"/>
    <w:embedRegular r:id="rId3"/>
  </w:font>
  <w:font w:name="Arimo Italics">
    <w:panose1 w:val="020B0604020202090204"/>
    <w:charset w:characterSet="1"/>
    <w:embedItalic r:id="rId4"/>
  </w:font>
  <w:font w:name="Bricolage Grotesque Medium">
    <w:panose1 w:val="020B0605040402000204"/>
    <w:charset w:characterSet="1"/>
    <w:embedBold r:id="rId5"/>
  </w:font>
  <w:font w:name="Bricolage Grotesque Bold">
    <w:panose1 w:val="020B0605040402000204"/>
    <w:charset w:characterSet="1"/>
    <w:embedBold r:id="rId6"/>
  </w:font>
  <w:font w:name="Bricolage Grotesque Ultra-Bold">
    <w:panose1 w:val="020B0605040402000204"/>
    <w:charset w:characterSet="1"/>
    <w:embedBold r:id="rId7"/>
  </w:font>
  <w:font w:name="Bricolage Grotesque">
    <w:panose1 w:val="020B0605040402000204"/>
    <w:charset w:characterSet="1"/>
    <w:embedRegular r:id="rId8"/>
  </w:font>
  <w:font w:name="Bricolage Grotesque Semi-Bold">
    <w:panose1 w:val="020B0605040402000204"/>
    <w:charset w:characterSet="1"/>
    <w:embedBold r:id="rId9"/>
  </w:font>
  <w:font w:name="Bricolage Grotesque Light">
    <w:panose1 w:val="020B0605040402000204"/>
    <w:charset w:characterSet="1"/>
    <w:embedRegular r:id="rId10"/>
  </w:font>
  <w:font w:name="Bricolage Grotesque Extra-Light">
    <w:panose1 w:val="020B0605040402000204"/>
    <w:charset w:characterSet="1"/>
    <w:embedRegular r:id="rId11"/>
  </w:font>
  <w:font w:name="Canva Sans Bold">
    <w:panose1 w:val="020B0803030501040103"/>
    <w:charset w:characterSet="1"/>
    <w:embedBold r:id="rId12"/>
  </w:font>
</w:fonts>
</file>

<file path=word/numbering.xml><?xml version="1.0" encoding="utf-8"?>
<w:numbering xmlns:w="http://schemas.openxmlformats.org/wordprocessingml/2006/main">
  <w:abstractNum w:abstractNumId="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embedTrueTypeFonts/>
  <w:doNotShadeFormData/>
  <w:compat>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fontTable.xml" Type="http://schemas.openxmlformats.org/officeDocument/2006/relationships/fontTable"/><Relationship Id="rId3" Target="media/image1.png" Type="http://schemas.openxmlformats.org/officeDocument/2006/relationships/image"/><Relationship Id="rId4" Target="numbering.xml" Type="http://schemas.openxmlformats.org/officeDocument/2006/relationships/numbering"/></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10" Target="fonts/font10.odttf" Type="http://schemas.openxmlformats.org/officeDocument/2006/relationships/font"/><Relationship Id="rId11" Target="fonts/font11.odttf" Type="http://schemas.openxmlformats.org/officeDocument/2006/relationships/font"/><Relationship Id="rId12" Target="fonts/font12.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 Id="rId5" Target="fonts/font5.odttf" Type="http://schemas.openxmlformats.org/officeDocument/2006/relationships/font"/><Relationship Id="rId6" Target="fonts/font6.odttf" Type="http://schemas.openxmlformats.org/officeDocument/2006/relationships/font"/><Relationship Id="rId7" Target="fonts/font7.odttf" Type="http://schemas.openxmlformats.org/officeDocument/2006/relationships/font"/><Relationship Id="rId8" Target="fonts/font8.odttf" Type="http://schemas.openxmlformats.org/officeDocument/2006/relationships/font"/><Relationship Id="rId9" Target="fonts/font9.odttf" Type="http://schemas.openxmlformats.org/officeDocument/2006/relationships/font"/></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2026-08-05T20:18:45Z</dcterms:created>
  <dc:creator>Apache POI</dc:creator>
  <dc:title>Egypt Real Estate 2026 Dashboard Insights Report</dc:title>
</cp:coreProperties>
</file>