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3A5C" w:color="auto" w:val="clear"/>
            <w:tcMar>
              <w:top w:type="dxa" w:w="240"/>
              <w:left w:type="dxa" w:w="300"/>
              <w:bottom w:type="dxa" w:w="240"/>
              <w:right w:type="dxa" w:w="300"/>
            </w:tcMar>
          </w:tcPr>
          <w:p>
            <w:pPr>
              <w:jc w:val="center"/>
            </w:pPr>
            <w:r>
              <w:rPr>
                <w:b/>
                <w:bCs/>
                <w:color w:val="FFFFFF"/>
                <w:sz w:val="48"/>
                <w:szCs w:val="48"/>
              </w:rPr>
              <w:t xml:space="preserve">Egypt Real Estate 2026</w:t>
            </w:r>
          </w:p>
          <w:p>
            <w:pPr>
              <w:spacing w:before="80"/>
              <w:jc w:val="center"/>
            </w:pPr>
            <w:r>
              <w:rPr>
                <w:color w:val="C9A84C"/>
                <w:sz w:val="24"/>
                <w:szCs w:val="24"/>
              </w:rPr>
              <w:t xml:space="preserve">Dashboard Insights Report  ·  Power BI  &amp;  Tableau</w:t>
            </w:r>
          </w:p>
        </w:tc>
      </w:tr>
    </w:tbl>
    <w:p>
      <w:pPr>
        <w:spacing w:after="0" w:before="400"/>
      </w:pPr>
    </w:p>
    <w:p>
      <w:pPr>
        <w:spacing w:before="160"/>
        <w:jc w:val="center"/>
      </w:pPr>
      <w:r>
        <w:rPr>
          <w:i/>
          <w:iCs/>
          <w:color w:val="888888"/>
          <w:sz w:val="18"/>
          <w:szCs w:val="18"/>
        </w:rPr>
        <w:t xml:space="preserve">Prepared from scraped listing data — egypt_re_clean.csv + egypt_re_amenities_binary.csv</w:t>
      </w:r>
    </w:p>
    <w:p>
      <w:pPr>
        <w:spacing w:before="60"/>
        <w:jc w:val="center"/>
      </w:pPr>
      <w:r>
        <w:rPr>
          <w:color w:val="888888"/>
          <w:sz w:val="18"/>
          <w:szCs w:val="18"/>
        </w:rPr>
        <w:t xml:space="preserve">Report Date: August 2026</w:t>
      </w:r>
    </w:p>
    <w:p>
      <w:pPr>
        <w:spacing w:after="0" w:before="600"/>
      </w:pPr>
    </w:p>
    <w:p>
      <w:pPr>
        <w:pBdr>
          <w:bottom w:val="single" w:color="C9A84C" w:sz="6"/>
        </w:pBdr>
        <w:spacing w:after="120" w:before="120"/>
      </w:pPr>
    </w:p>
    <w:p>
      <w:pPr>
        <w:spacing w:after="0" w:before="200"/>
      </w:pPr>
    </w:p>
    <w:p>
      <w:pPr>
        <w:spacing w:after="60" w:before="100"/>
      </w:pPr>
      <w:r>
        <w:rPr>
          <w:b/>
          <w:bCs/>
          <w:color w:val="1A3A5C"/>
          <w:sz w:val="22"/>
          <w:szCs w:val="22"/>
        </w:rPr>
        <w:t xml:space="preserve">Contents</w:t>
      </w:r>
    </w:p>
    <w:p>
      <w:pPr>
        <w:spacing w:after="40" w:before="40"/>
        <w:ind w:left="360"/>
      </w:pPr>
      <w:r>
        <w:rPr>
          <w:b/>
          <w:bCs/>
          <w:color w:val="C9A84C"/>
          <w:sz w:val="20"/>
          <w:szCs w:val="20"/>
        </w:rPr>
        <w:t xml:space="preserve">•  </w:t>
      </w:r>
      <w:r>
        <w:rPr>
          <w:color w:val="2C2C2C"/>
          <w:sz w:val="20"/>
          <w:szCs w:val="20"/>
        </w:rPr>
        <w:t xml:space="preserve">Part 1  —  Power BI Dashboard Insights  (Pages 1 – 6)</w:t>
      </w:r>
    </w:p>
    <w:p>
      <w:pPr>
        <w:spacing w:after="40" w:before="40"/>
        <w:ind w:left="360"/>
      </w:pPr>
      <w:r>
        <w:rPr>
          <w:b/>
          <w:bCs/>
          <w:color w:val="C9A84C"/>
          <w:sz w:val="20"/>
          <w:szCs w:val="20"/>
        </w:rPr>
        <w:t xml:space="preserve">•  </w:t>
      </w:r>
      <w:r>
        <w:rPr>
          <w:color w:val="2C2C2C"/>
          <w:sz w:val="20"/>
          <w:szCs w:val="20"/>
        </w:rPr>
        <w:t xml:space="preserve">1.1   Market Overview</w:t>
      </w:r>
    </w:p>
    <w:p>
      <w:pPr>
        <w:spacing w:after="40" w:before="40"/>
        <w:ind w:left="360"/>
      </w:pPr>
      <w:r>
        <w:rPr>
          <w:b/>
          <w:bCs/>
          <w:color w:val="C9A84C"/>
          <w:sz w:val="20"/>
          <w:szCs w:val="20"/>
        </w:rPr>
        <w:t xml:space="preserve">•  </w:t>
      </w:r>
      <w:r>
        <w:rPr>
          <w:color w:val="2C2C2C"/>
          <w:sz w:val="20"/>
          <w:szCs w:val="20"/>
        </w:rPr>
        <w:t xml:space="preserve">1.2   Location Intelligence</w:t>
      </w:r>
    </w:p>
    <w:p>
      <w:pPr>
        <w:spacing w:after="40" w:before="40"/>
        <w:ind w:left="360"/>
      </w:pPr>
      <w:r>
        <w:rPr>
          <w:b/>
          <w:bCs/>
          <w:color w:val="C9A84C"/>
          <w:sz w:val="20"/>
          <w:szCs w:val="20"/>
        </w:rPr>
        <w:t xml:space="preserve">•  </w:t>
      </w:r>
      <w:r>
        <w:rPr>
          <w:color w:val="2C2C2C"/>
          <w:sz w:val="20"/>
          <w:szCs w:val="20"/>
        </w:rPr>
        <w:t xml:space="preserve">1.3   Property Specs &amp; Pricing</w:t>
      </w:r>
    </w:p>
    <w:p>
      <w:pPr>
        <w:spacing w:after="40" w:before="40"/>
        <w:ind w:left="360"/>
      </w:pPr>
      <w:r>
        <w:rPr>
          <w:b/>
          <w:bCs/>
          <w:color w:val="C9A84C"/>
          <w:sz w:val="20"/>
          <w:szCs w:val="20"/>
        </w:rPr>
        <w:t xml:space="preserve">•  </w:t>
      </w:r>
      <w:r>
        <w:rPr>
          <w:color w:val="2C2C2C"/>
          <w:sz w:val="20"/>
          <w:szCs w:val="20"/>
        </w:rPr>
        <w:t xml:space="preserve">1.4   Agent &amp; Listing Quality</w:t>
      </w:r>
    </w:p>
    <w:p>
      <w:pPr>
        <w:spacing w:after="40" w:before="40"/>
        <w:ind w:left="360"/>
      </w:pPr>
      <w:r>
        <w:rPr>
          <w:b/>
          <w:bCs/>
          <w:color w:val="C9A84C"/>
          <w:sz w:val="20"/>
          <w:szCs w:val="20"/>
        </w:rPr>
        <w:t xml:space="preserve">•  </w:t>
      </w:r>
      <w:r>
        <w:rPr>
          <w:color w:val="2C2C2C"/>
          <w:sz w:val="20"/>
          <w:szCs w:val="20"/>
        </w:rPr>
        <w:t xml:space="preserve">1.5   Temporal Trends &amp; Seasonality</w:t>
      </w:r>
    </w:p>
    <w:p>
      <w:pPr>
        <w:spacing w:after="40" w:before="40"/>
        <w:ind w:left="360"/>
      </w:pPr>
      <w:r>
        <w:rPr>
          <w:b/>
          <w:bCs/>
          <w:color w:val="C9A84C"/>
          <w:sz w:val="20"/>
          <w:szCs w:val="20"/>
        </w:rPr>
        <w:t xml:space="preserve">•  </w:t>
      </w:r>
      <w:r>
        <w:rPr>
          <w:color w:val="2C2C2C"/>
          <w:sz w:val="20"/>
          <w:szCs w:val="20"/>
        </w:rPr>
        <w:t xml:space="preserve">1.6   Time Intelligence Deep Dive</w:t>
      </w:r>
    </w:p>
    <w:p>
      <w:pPr>
        <w:spacing w:after="0" w:before="120"/>
      </w:pPr>
    </w:p>
    <w:p>
      <w:pPr>
        <w:spacing w:after="40" w:before="40"/>
        <w:ind w:left="360"/>
      </w:pPr>
      <w:r>
        <w:rPr>
          <w:b/>
          <w:bCs/>
          <w:color w:val="C9A84C"/>
          <w:sz w:val="20"/>
          <w:szCs w:val="20"/>
        </w:rPr>
        <w:t xml:space="preserve">•  </w:t>
      </w:r>
      <w:r>
        <w:rPr>
          <w:color w:val="2C2C2C"/>
          <w:sz w:val="20"/>
          <w:szCs w:val="20"/>
        </w:rPr>
        <w:t xml:space="preserve">Part 2  —  Tableau Dashboard Insights  (Dashboards 1 – 3)</w:t>
      </w:r>
    </w:p>
    <w:p>
      <w:pPr>
        <w:spacing w:after="40" w:before="40"/>
        <w:ind w:left="360"/>
      </w:pPr>
      <w:r>
        <w:rPr>
          <w:b/>
          <w:bCs/>
          <w:color w:val="C9A84C"/>
          <w:sz w:val="20"/>
          <w:szCs w:val="20"/>
        </w:rPr>
        <w:t xml:space="preserve">•  </w:t>
      </w:r>
      <w:r>
        <w:rPr>
          <w:color w:val="2C2C2C"/>
          <w:sz w:val="20"/>
          <w:szCs w:val="20"/>
        </w:rPr>
        <w:t xml:space="preserve">2.1   Amenity Intelligence</w:t>
      </w:r>
    </w:p>
    <w:p>
      <w:pPr>
        <w:spacing w:after="40" w:before="40"/>
        <w:ind w:left="360"/>
      </w:pPr>
      <w:r>
        <w:rPr>
          <w:b/>
          <w:bCs/>
          <w:color w:val="C9A84C"/>
          <w:sz w:val="20"/>
          <w:szCs w:val="20"/>
        </w:rPr>
        <w:t xml:space="preserve">•  </w:t>
      </w:r>
      <w:r>
        <w:rPr>
          <w:color w:val="2C2C2C"/>
          <w:sz w:val="20"/>
          <w:szCs w:val="20"/>
        </w:rPr>
        <w:t xml:space="preserve">2.2   Geospatial &amp; Yield Explorer</w:t>
      </w:r>
    </w:p>
    <w:p>
      <w:pPr>
        <w:spacing w:after="40" w:before="40"/>
        <w:ind w:left="360"/>
      </w:pPr>
      <w:r>
        <w:rPr>
          <w:b/>
          <w:bCs/>
          <w:color w:val="C9A84C"/>
          <w:sz w:val="20"/>
          <w:szCs w:val="20"/>
        </w:rPr>
        <w:t xml:space="preserve">•  </w:t>
      </w:r>
      <w:r>
        <w:rPr>
          <w:color w:val="2C2C2C"/>
          <w:sz w:val="20"/>
          <w:szCs w:val="20"/>
        </w:rPr>
        <w:t xml:space="preserve">2.3   Temporal Patterns &amp; Price Momentum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3A5C" w:color="auto" w:val="clear"/>
            <w:tcMar>
              <w:top w:type="dxa" w:w="120"/>
              <w:left w:type="dxa" w:w="200"/>
              <w:bottom w:type="dxa" w:w="120"/>
              <w:right w:type="dxa" w:w="200"/>
            </w:tcMar>
          </w:tcPr>
          <w:p>
            <w:pPr>
              <w:jc w:val="left"/>
            </w:pPr>
            <w:r>
              <w:rPr>
                <w:b/>
                <w:bCs/>
                <w:color w:val="FFFFFF"/>
                <w:sz w:val="26"/>
                <w:szCs w:val="26"/>
              </w:rPr>
              <w:t xml:space="preserve">PART 1 — POWER BI DASHBOARD INSIGHTS</w:t>
            </w:r>
          </w:p>
        </w:tc>
      </w:tr>
    </w:tbl>
    <w:p>
      <w:pPr>
        <w:spacing w:after="0" w:before="240"/>
      </w:pPr>
    </w:p>
    <w:p>
      <w:pPr>
        <w:spacing w:after="60" w:before="60"/>
      </w:pPr>
      <w:r>
        <w:rPr>
          <w:b w:val="false"/>
          <w:bCs w:val="false"/>
          <w:color w:val="2C2C2C"/>
          <w:sz w:val="20"/>
          <w:szCs w:val="20"/>
        </w:rPr>
        <w:t xml:space="preserve">The Power BI workbook delivers six interactive report pages built on a star-schema data model. Together they answer five strategic questions: What does the overall market look like? Where are prices highest? Which property features command premiums? Who are the top-performing agents? And how has the market moved over time?</w:t>
      </w:r>
    </w:p>
    <w:p>
      <w:pPr>
        <w:spacing w:after="0" w:before="200"/>
      </w:pPr>
    </w:p>
    <w:p>
      <w:pPr>
        <w:pStyle w:val="Heading2"/>
        <w:spacing w:after="120" w:before="300"/>
      </w:pPr>
      <w:r>
        <w:rPr>
          <w:b/>
          <w:bCs/>
          <w:color w:val="1A3A5C"/>
          <w:sz w:val="26"/>
          <w:szCs w:val="26"/>
        </w:rPr>
        <w:t xml:space="preserve">1.1  Market Overview</w:t>
      </w:r>
    </w:p>
    <w:p>
      <w:pPr>
        <w:spacing w:after="60" w:before="60"/>
      </w:pPr>
      <w:r>
        <w:rPr>
          <w:b w:val="false"/>
          <w:bCs w:val="false"/>
          <w:color w:val="2C2C2C"/>
          <w:sz w:val="20"/>
          <w:szCs w:val="20"/>
        </w:rPr>
        <w:t xml:space="preserve">The Market Overview page provides a top-level snapshot of the entire dataset through five KPI cards, a buy-vs-rent donut, listings-by-property-type and listings-by-city bar charts, and a price-band stacked bar per city.</w:t>
      </w:r>
    </w:p>
    <w:p>
      <w:pPr>
        <w:spacing w:after="0" w:before="120"/>
      </w:pPr>
    </w:p>
    <w:p>
      <w:pPr>
        <w:pStyle w:val="Heading3"/>
        <w:spacing w:after="120" w:before="300"/>
      </w:pPr>
      <w:r>
        <w:rPr>
          <w:b/>
          <w:bCs/>
          <w:color w:val="1A3A5C"/>
          <w:sz w:val="22"/>
          <w:szCs w:val="22"/>
        </w:rPr>
        <w:t xml:space="preserve">Key KPIs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A3A5C" w:color="auto" w:val="clear"/>
            <w:tcMar>
              <w:top w:type="dxa" w:w="80"/>
              <w:left w:type="dxa" w:w="160"/>
              <w:bottom w:type="dxa" w:w="80"/>
              <w:right w:type="dxa" w:w="160"/>
            </w:tcMar>
          </w:tcPr>
          <w:p>
            <w:r>
              <w:rPr>
                <w:b/>
                <w:bCs/>
                <w:color w:val="FFFFFF"/>
                <w:sz w:val="20"/>
                <w:szCs w:val="20"/>
              </w:rPr>
              <w:t xml:space="preserve">Metric</w:t>
            </w:r>
          </w:p>
        </w:tc>
        <w:tc>
          <w:tcPr>
            <w:tcW w:type="dxa" w:w="4680"/>
            <w:shd w:fill="1A3A5C" w:color="auto" w:val="clear"/>
            <w:tcMar>
              <w:top w:type="dxa" w:w="80"/>
              <w:left w:type="dxa" w:w="160"/>
              <w:bottom w:type="dxa" w:w="80"/>
              <w:right w:type="dxa" w:w="160"/>
            </w:tcMar>
          </w:tcPr>
          <w:p>
            <w:r>
              <w:rPr>
                <w:b/>
                <w:bCs/>
                <w:color w:val="FFFFFF"/>
                <w:sz w:val="20"/>
                <w:szCs w:val="20"/>
              </w:rPr>
              <w:t xml:space="preserve">Insight</w:t>
            </w:r>
          </w:p>
        </w:tc>
      </w:tr>
      <w:tr>
        <w:tc>
          <w:tcPr>
            <w:tcW w:type="dxa" w:w="4680"/>
            <w:shd w:fill="FFFFFF" w:color="auto" w:val="clear"/>
            <w:tcMar>
              <w:top w:type="dxa" w:w="60"/>
              <w:left w:type="dxa" w:w="160"/>
              <w:bottom w:type="dxa" w:w="60"/>
              <w:right w:type="dxa" w:w="160"/>
            </w:tcMar>
          </w:tcPr>
          <w:p>
            <w:r>
              <w:rPr>
                <w:b/>
                <w:bCs/>
                <w:color w:val="1A3A5C"/>
                <w:sz w:val="19"/>
                <w:szCs w:val="19"/>
              </w:rPr>
              <w:t xml:space="preserve">Total Listings</w:t>
            </w:r>
          </w:p>
        </w:tc>
        <w:tc>
          <w:tcPr>
            <w:tcW w:type="dxa" w:w="4680"/>
            <w:shd w:fill="FFFFFF" w:color="auto" w:val="clear"/>
            <w:tcMar>
              <w:top w:type="dxa" w:w="60"/>
              <w:left w:type="dxa" w:w="160"/>
              <w:bottom w:type="dxa" w:w="60"/>
              <w:right w:type="dxa" w:w="160"/>
            </w:tcMar>
          </w:tcPr>
          <w:p>
            <w:r>
              <w:rPr>
                <w:color w:val="2C2C2C"/>
                <w:sz w:val="19"/>
                <w:szCs w:val="19"/>
              </w:rPr>
              <w:t xml:space="preserve">The full inventory count across all cities and property types — baseline for all market share calculations.</w:t>
            </w:r>
          </w:p>
        </w:tc>
      </w:tr>
      <w:tr>
        <w:tc>
          <w:tcPr>
            <w:tcW w:type="dxa" w:w="4680"/>
            <w:shd w:fill="F0F4F8" w:color="auto" w:val="clear"/>
            <w:tcMar>
              <w:top w:type="dxa" w:w="60"/>
              <w:left w:type="dxa" w:w="160"/>
              <w:bottom w:type="dxa" w:w="60"/>
              <w:right w:type="dxa" w:w="160"/>
            </w:tcMar>
          </w:tcPr>
          <w:p>
            <w:r>
              <w:rPr>
                <w:b/>
                <w:bCs/>
                <w:color w:val="1A3A5C"/>
                <w:sz w:val="19"/>
                <w:szCs w:val="19"/>
              </w:rPr>
              <w:t xml:space="preserve">Buy vs Rent Split</w:t>
            </w:r>
          </w:p>
        </w:tc>
        <w:tc>
          <w:tcPr>
            <w:tcW w:type="dxa" w:w="4680"/>
            <w:shd w:fill="F0F4F8" w:color="auto" w:val="clear"/>
            <w:tcMar>
              <w:top w:type="dxa" w:w="60"/>
              <w:left w:type="dxa" w:w="160"/>
              <w:bottom w:type="dxa" w:w="60"/>
              <w:right w:type="dxa" w:w="160"/>
            </w:tcMar>
          </w:tcPr>
          <w:p>
            <w:r>
              <w:rPr>
                <w:color w:val="2C2C2C"/>
                <w:sz w:val="19"/>
                <w:szCs w:val="19"/>
              </w:rPr>
              <w:t xml:space="preserve">Donut chart reveals the ratio of sale to rental inventory; markets with high rent share signal strong investor/tenant demand.</w:t>
            </w:r>
          </w:p>
        </w:tc>
      </w:tr>
      <w:tr>
        <w:tc>
          <w:tcPr>
            <w:tcW w:type="dxa" w:w="4680"/>
            <w:shd w:fill="FFFFFF" w:color="auto" w:val="clear"/>
            <w:tcMar>
              <w:top w:type="dxa" w:w="60"/>
              <w:left w:type="dxa" w:w="160"/>
              <w:bottom w:type="dxa" w:w="60"/>
              <w:right w:type="dxa" w:w="160"/>
            </w:tcMar>
          </w:tcPr>
          <w:p>
            <w:r>
              <w:rPr>
                <w:b/>
                <w:bCs/>
                <w:color w:val="1A3A5C"/>
                <w:sz w:val="19"/>
                <w:szCs w:val="19"/>
              </w:rPr>
              <w:t xml:space="preserve">Avg Buy Price (EGP)</w:t>
            </w:r>
          </w:p>
        </w:tc>
        <w:tc>
          <w:tcPr>
            <w:tcW w:type="dxa" w:w="4680"/>
            <w:shd w:fill="FFFFFF" w:color="auto" w:val="clear"/>
            <w:tcMar>
              <w:top w:type="dxa" w:w="60"/>
              <w:left w:type="dxa" w:w="160"/>
              <w:bottom w:type="dxa" w:w="60"/>
              <w:right w:type="dxa" w:w="160"/>
            </w:tcMar>
          </w:tcPr>
          <w:p>
            <w:r>
              <w:rPr>
                <w:color w:val="2C2C2C"/>
                <w:sz w:val="19"/>
                <w:szCs w:val="19"/>
              </w:rPr>
              <w:t xml:space="preserve">Market-wide median purchase price; filter by city or property type to isolate sub-market benchmarks.</w:t>
            </w:r>
          </w:p>
        </w:tc>
      </w:tr>
      <w:tr>
        <w:tc>
          <w:tcPr>
            <w:tcW w:type="dxa" w:w="4680"/>
            <w:shd w:fill="F0F4F8" w:color="auto" w:val="clear"/>
            <w:tcMar>
              <w:top w:type="dxa" w:w="60"/>
              <w:left w:type="dxa" w:w="160"/>
              <w:bottom w:type="dxa" w:w="60"/>
              <w:right w:type="dxa" w:w="160"/>
            </w:tcMar>
          </w:tcPr>
          <w:p>
            <w:r>
              <w:rPr>
                <w:b/>
                <w:bCs/>
                <w:color w:val="1A3A5C"/>
                <w:sz w:val="19"/>
                <w:szCs w:val="19"/>
              </w:rPr>
              <w:t xml:space="preserve">Avg Monthly Rent</w:t>
            </w:r>
          </w:p>
        </w:tc>
        <w:tc>
          <w:tcPr>
            <w:tcW w:type="dxa" w:w="4680"/>
            <w:shd w:fill="F0F4F8" w:color="auto" w:val="clear"/>
            <w:tcMar>
              <w:top w:type="dxa" w:w="60"/>
              <w:left w:type="dxa" w:w="160"/>
              <w:bottom w:type="dxa" w:w="60"/>
              <w:right w:type="dxa" w:w="160"/>
            </w:tcMar>
          </w:tcPr>
          <w:p>
            <w:r>
              <w:rPr>
                <w:color w:val="2C2C2C"/>
                <w:sz w:val="19"/>
                <w:szCs w:val="19"/>
              </w:rPr>
              <w:t xml:space="preserve">Median rent across all rental listings; compare against buy price to assess affordability and yield potential.</w:t>
            </w:r>
          </w:p>
        </w:tc>
      </w:tr>
      <w:tr>
        <w:tc>
          <w:tcPr>
            <w:tcW w:type="dxa" w:w="4680"/>
            <w:shd w:fill="FFFFFF" w:color="auto" w:val="clear"/>
            <w:tcMar>
              <w:top w:type="dxa" w:w="60"/>
              <w:left w:type="dxa" w:w="160"/>
              <w:bottom w:type="dxa" w:w="60"/>
              <w:right w:type="dxa" w:w="160"/>
            </w:tcMar>
          </w:tcPr>
          <w:p>
            <w:r>
              <w:rPr>
                <w:b/>
                <w:bCs/>
                <w:color w:val="1A3A5C"/>
                <w:sz w:val="19"/>
                <w:szCs w:val="19"/>
              </w:rPr>
              <w:t xml:space="preserve">Listings by City</w:t>
            </w:r>
          </w:p>
        </w:tc>
        <w:tc>
          <w:tcPr>
            <w:tcW w:type="dxa" w:w="4680"/>
            <w:shd w:fill="FFFFFF" w:color="auto" w:val="clear"/>
            <w:tcMar>
              <w:top w:type="dxa" w:w="60"/>
              <w:left w:type="dxa" w:w="160"/>
              <w:bottom w:type="dxa" w:w="60"/>
              <w:right w:type="dxa" w:w="160"/>
            </w:tcMar>
          </w:tcPr>
          <w:p>
            <w:r>
              <w:rPr>
                <w:color w:val="2C2C2C"/>
                <w:sz w:val="19"/>
                <w:szCs w:val="19"/>
              </w:rPr>
              <w:t xml:space="preserve">Volume ranking exposes supply concentration; dominant cities carry higher data confidence for pricing conclusions.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9A84C" w:color="auto" w:val="clear"/>
            <w:tcMar>
              <w:top w:type="dxa" w:w="80"/>
              <w:left w:type="dxa" w:w="200"/>
              <w:bottom w:type="dxa" w:w="80"/>
              <w:right w:type="dxa" w:w="200"/>
            </w:tcMar>
          </w:tcPr>
          <w:p>
            <w:r>
              <w:rPr>
                <w:b/>
                <w:bCs/>
                <w:color w:val="1A3A5C"/>
                <w:sz w:val="20"/>
                <w:szCs w:val="20"/>
              </w:rPr>
              <w:t xml:space="preserve">💡  Market Overview — Key Insights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Apartment listings dominate the Egyptian real estate market, followed by chalets and villas — understanding this composition is critical for segmented pricing analysis.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Cairo and New Cairo consistently hold the largest share of total listings, indicating the most liquid sub-markets.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price-band stacked bar reveals that affordable (Under 5M EGP) inventory is geographically concentrated in second-tier cities, while premium (Above 15M EGP) supply clusters in New Cairo and Sheikh Zayed.</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Rental listings are a meaningful share of total inventory; cities with high rent-to-buy ratios are potential hotspots for buy-to-let investors.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Use the city and property-type slicers together to isolate niche segments — e.g., furnished apartments for rent in Maadi — that the top-level KPIs would otherwise mask.</w:t>
            </w:r>
          </w:p>
        </w:tc>
      </w:tr>
    </w:tbl>
    <w:p>
      <w:pPr>
        <w:spacing w:after="0" w:before="240"/>
      </w:pPr>
    </w:p>
    <w:p>
      <w:pPr>
        <w:pStyle w:val="Heading2"/>
        <w:spacing w:after="120" w:before="300"/>
      </w:pPr>
      <w:r>
        <w:rPr>
          <w:b/>
          <w:bCs/>
          <w:color w:val="1A3A5C"/>
          <w:sz w:val="26"/>
          <w:szCs w:val="26"/>
        </w:rPr>
        <w:t xml:space="preserve">1.2  Location Intelligence</w:t>
      </w:r>
    </w:p>
    <w:p>
      <w:pPr>
        <w:spacing w:after="60" w:before="60"/>
      </w:pPr>
      <w:r>
        <w:rPr>
          <w:b w:val="false"/>
          <w:bCs w:val="false"/>
          <w:color w:val="2C2C2C"/>
          <w:sz w:val="20"/>
          <w:szCs w:val="20"/>
        </w:rPr>
        <w:t xml:space="preserve">This page combines a bubble map (district-level price per SQM), a drill-down matrix (City → Town → District), and two ranked bar charts for the top 15 towns by price and volume.</w:t>
      </w:r>
    </w:p>
    <w:p>
      <w:pPr>
        <w:spacing w:after="0" w:before="120"/>
      </w:pPr>
    </w:p>
    <w:p>
      <w:pPr>
        <w:pStyle w:val="Heading3"/>
        <w:spacing w:after="120" w:before="300"/>
      </w:pPr>
      <w:r>
        <w:rPr>
          <w:b/>
          <w:bCs/>
          <w:color w:val="1A3A5C"/>
          <w:sz w:val="22"/>
          <w:szCs w:val="22"/>
        </w:rPr>
        <w:t xml:space="preserve">Geographic Price Distribution</w:t>
      </w:r>
    </w:p>
    <w:p>
      <w:pPr>
        <w:spacing w:after="60" w:before="60"/>
      </w:pPr>
      <w:r>
        <w:rPr>
          <w:b w:val="false"/>
          <w:bCs w:val="false"/>
          <w:color w:val="2C2C2C"/>
          <w:sz w:val="20"/>
          <w:szCs w:val="20"/>
        </w:rPr>
        <w:t xml:space="preserve">The bubble map encodes both price intensity (bubble color) and relative scale (bubble size = price per SQM). Districts with large, dark bubbles represent the most expensive and most liquid micro-markets.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9A84C" w:color="auto" w:val="clear"/>
            <w:tcMar>
              <w:top w:type="dxa" w:w="80"/>
              <w:left w:type="dxa" w:w="200"/>
              <w:bottom w:type="dxa" w:w="80"/>
              <w:right w:type="dxa" w:w="200"/>
            </w:tcMar>
          </w:tcPr>
          <w:p>
            <w:r>
              <w:rPr>
                <w:b/>
                <w:bCs/>
                <w:color w:val="1A3A5C"/>
                <w:sz w:val="20"/>
                <w:szCs w:val="20"/>
              </w:rPr>
              <w:t xml:space="preserve">💡  Location Intelligence — Key Insights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Upscale compounds in New Cairo and Sheikh Zayed command the highest price per SQM nationally; coastal districts in Ain Sokhna and North Coast spike seasonally for vacation properties.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City → Town → District drill-down matrix reveals sharp intra-city price variance — two towns in the same city can differ by 2× in median SQM price, making town-level targeting essential.</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Top 15 Towns by Volume often differ from Top 15 by Price, which means high-supply areas are not always high-price — useful for identifying undervalued inventory.</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Coastal and resort-market towns rank highly by price per SQM but with thinner listing counts, signalling niche/premium segments rather than mainstream activity.</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Districts with few listings but high prices warrant caution — small sample size inflates apparent medians; cross-reference with the matrix's listing count column.</w:t>
            </w:r>
          </w:p>
        </w:tc>
      </w:tr>
    </w:tbl>
    <w:p>
      <w:pPr>
        <w:spacing w:after="0" w:before="240"/>
      </w:pPr>
    </w:p>
    <w:p>
      <w:pPr>
        <w:pStyle w:val="Heading2"/>
        <w:spacing w:after="120" w:before="300"/>
      </w:pPr>
      <w:r>
        <w:rPr>
          <w:b/>
          <w:bCs/>
          <w:color w:val="1A3A5C"/>
          <w:sz w:val="26"/>
          <w:szCs w:val="26"/>
        </w:rPr>
        <w:t xml:space="preserve">1.3  Property Specs &amp; Pricing</w:t>
      </w:r>
    </w:p>
    <w:p>
      <w:pPr>
        <w:spacing w:after="60" w:before="60"/>
      </w:pPr>
      <w:r>
        <w:rPr>
          <w:b w:val="false"/>
          <w:bCs w:val="false"/>
          <w:color w:val="2C2C2C"/>
          <w:sz w:val="20"/>
          <w:szCs w:val="20"/>
        </w:rPr>
        <w:t xml:space="preserve">This page analyses how physical attributes — bedrooms, bathrooms, furnished status, total area — and amenity count drive price per SQM, using column charts, a log-scale scatter, and the 20-amenity ranked bar.</w:t>
      </w:r>
    </w:p>
    <w:p>
      <w:pPr>
        <w:spacing w:after="0" w:before="120"/>
      </w:pPr>
    </w:p>
    <w:p>
      <w:pPr>
        <w:pStyle w:val="Heading3"/>
        <w:spacing w:after="120" w:before="300"/>
      </w:pPr>
      <w:r>
        <w:rPr>
          <w:b/>
          <w:bCs/>
          <w:color w:val="1A3A5C"/>
          <w:sz w:val="22"/>
          <w:szCs w:val="22"/>
        </w:rPr>
        <w:t xml:space="preserve">Bedroom &amp; Bathroom Pricing Curves</w:t>
      </w:r>
    </w:p>
    <w:p>
      <w:pPr>
        <w:spacing w:after="60" w:before="60"/>
      </w:pPr>
      <w:r>
        <w:rPr>
          <w:b w:val="false"/>
          <w:bCs w:val="false"/>
          <w:color w:val="2C2C2C"/>
          <w:sz w:val="20"/>
          <w:szCs w:val="20"/>
        </w:rPr>
        <w:t xml:space="preserve">Price per SQM does not increase linearly with bedrooms. Studios and 1-bed units often command a premium per SQM over 3-bed units in the same building — a classic "efficiency premium" pattern.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9A84C" w:color="auto" w:val="clear"/>
            <w:tcMar>
              <w:top w:type="dxa" w:w="80"/>
              <w:left w:type="dxa" w:w="200"/>
              <w:bottom w:type="dxa" w:w="80"/>
              <w:right w:type="dxa" w:w="200"/>
            </w:tcMar>
          </w:tcPr>
          <w:p>
            <w:r>
              <w:rPr>
                <w:b/>
                <w:bCs/>
                <w:color w:val="1A3A5C"/>
                <w:sz w:val="20"/>
                <w:szCs w:val="20"/>
              </w:rPr>
              <w:t xml:space="preserve">💡  Specs &amp; Pricing — Key Insights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Smaller units (1–2 bedrooms) frequently achieve a higher price per SQM than larger ones in the same city — driven by rental demand and investor preference for smaller, easier-to-let properties.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Furnished listings command a significant price premium over unfurnished equivalents; semi-furnished units sit in between — the Furnished Status bar chart quantifies this spread precisely.</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Area vs Price log-scale scatter confirms a positive correlation, but type-level dispersion is wide — property type (villa vs apartment) is a stronger price determinant than raw area.</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Amenity count has a clear positive relationship with price per SQM up to around 10–12 amenities; beyond that, diminishing returns appear — the line chart on amenity count vs price illustrates this inflection.</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AmenityPriceSummary bar chart reveals that luxury/experiential amenities (private pool, shared spa, water view) rank at the top, while functional amenities (security, covered parking) rank lower but appear in more listings.</w:t>
            </w:r>
          </w:p>
        </w:tc>
      </w:tr>
    </w:tbl>
    <w:p>
      <w:pPr>
        <w:spacing w:after="0" w:before="240"/>
      </w:pPr>
    </w:p>
    <w:p>
      <w:pPr>
        <w:pStyle w:val="Heading2"/>
        <w:spacing w:after="120" w:before="300"/>
      </w:pPr>
      <w:r>
        <w:rPr>
          <w:b/>
          <w:bCs/>
          <w:color w:val="1A3A5C"/>
          <w:sz w:val="26"/>
          <w:szCs w:val="26"/>
        </w:rPr>
        <w:t xml:space="preserve">1.4  Agent &amp; Listing Quality</w:t>
      </w:r>
    </w:p>
    <w:p>
      <w:pPr>
        <w:spacing w:after="60" w:before="60"/>
      </w:pPr>
      <w:r>
        <w:rPr>
          <w:b w:val="false"/>
          <w:bCs w:val="false"/>
          <w:color w:val="2C2C2C"/>
          <w:sz w:val="20"/>
          <w:szCs w:val="20"/>
        </w:rPr>
        <w:t xml:space="preserve">The Agent &amp; Quality page tracks listing quality flags (premium, verified, featured, new construction, direct-from-dev, furnished) and broker performance through ranked bar charts, a scatter, and a sortable agent table.</w:t>
      </w:r>
    </w:p>
    <w:p>
      <w:pPr>
        <w:spacing w:after="0" w:before="120"/>
      </w:pPr>
    </w:p>
    <w:p>
      <w:pPr>
        <w:pStyle w:val="Heading3"/>
        <w:spacing w:after="120" w:before="300"/>
      </w:pPr>
      <w:r>
        <w:rPr>
          <w:b/>
          <w:bCs/>
          <w:color w:val="1A3A5C"/>
          <w:sz w:val="22"/>
          <w:szCs w:val="22"/>
        </w:rPr>
        <w:t xml:space="preserve">Quality Flag Overview</w:t>
      </w:r>
    </w:p>
    <w:p>
      <w:pPr>
        <w:spacing w:after="60" w:before="60"/>
      </w:pPr>
      <w:r>
        <w:rPr>
          <w:b w:val="false"/>
          <w:bCs w:val="false"/>
          <w:color w:val="2C2C2C"/>
          <w:sz w:val="20"/>
          <w:szCs w:val="20"/>
        </w:rPr>
        <w:t xml:space="preserve">Six quality-flag percentage cards expose the composition of the market's premium tier. High verified rates suggest a platform with strong data governance; low featured percentages indicate selective promotion.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9A84C" w:color="auto" w:val="clear"/>
            <w:tcMar>
              <w:top w:type="dxa" w:w="80"/>
              <w:left w:type="dxa" w:w="200"/>
              <w:bottom w:type="dxa" w:w="80"/>
              <w:right w:type="dxa" w:w="200"/>
            </w:tcMar>
          </w:tcPr>
          <w:p>
            <w:r>
              <w:rPr>
                <w:b/>
                <w:bCs/>
                <w:color w:val="1A3A5C"/>
                <w:sz w:val="20"/>
                <w:szCs w:val="20"/>
              </w:rPr>
              <w:t xml:space="preserve">💡  Agent &amp; Listing Quality — Key Insights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Premium listings represent a small but meaningful share of total inventory — filtering to premium-only dramatically narrows the dataset and raises average asking prices, confirming the premium tier is genuinely distinct.</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Super-agents (agent_is_super = true) tend to cluster at the high-price end of the Agent Volume vs Avg Price scatter, suggesting specialisation in premium segments rather than high-volume transacting.</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Brokers with the highest listing counts are not always those with the highest average prices — the two ranked charts frequently show different top-10 compositions, confirming that volume and price positioning are separate strategies.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Direct-from-developer listings account for a significant slice of the market; these tend to be new constructions with competitive launch pricing and bundled amenities.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Days Since Listed is a proxy for listing freshness — agents with high average days-since-listed may be overpricing or listing stale inventory; the agent performance table exposes these outliers through conditional formatting.</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Verified listings earn greater platform visibility; the Verified % KPI card should be tracked over time — a rising trend implies improving data quality across the platform.</w:t>
            </w:r>
          </w:p>
        </w:tc>
      </w:tr>
    </w:tbl>
    <w:p>
      <w:pPr>
        <w:spacing w:after="0" w:before="240"/>
      </w:pPr>
    </w:p>
    <w:p>
      <w:pPr>
        <w:pStyle w:val="Heading2"/>
        <w:spacing w:after="120" w:before="300"/>
      </w:pPr>
      <w:r>
        <w:rPr>
          <w:b/>
          <w:bCs/>
          <w:color w:val="1A3A5C"/>
          <w:sz w:val="26"/>
          <w:szCs w:val="26"/>
        </w:rPr>
        <w:t xml:space="preserve">1.5  Temporal Trends &amp; Seasonality</w:t>
      </w:r>
    </w:p>
    <w:p>
      <w:pPr>
        <w:spacing w:after="60" w:before="60"/>
      </w:pPr>
      <w:r>
        <w:rPr>
          <w:b w:val="false"/>
          <w:bCs w:val="false"/>
          <w:color w:val="2C2C2C"/>
          <w:sz w:val="20"/>
          <w:szCs w:val="20"/>
        </w:rPr>
        <w:t xml:space="preserve">This page charts how listing volumes and median prices evolve monthly, broken down by day of week, calendar month, season (Winter/Spring/Summer/Autumn), and month period (Beginning/Middle/End).</w:t>
      </w:r>
    </w:p>
    <w:p>
      <w:pPr>
        <w:spacing w:after="0" w:before="120"/>
      </w:pPr>
    </w:p>
    <w:p>
      <w:pPr>
        <w:pStyle w:val="Heading3"/>
        <w:spacing w:after="120" w:before="300"/>
      </w:pPr>
      <w:r>
        <w:rPr>
          <w:b/>
          <w:bCs/>
          <w:color w:val="1A3A5C"/>
          <w:sz w:val="22"/>
          <w:szCs w:val="22"/>
        </w:rPr>
        <w:t xml:space="preserve">Monthly Volume &amp; Price Trends</w:t>
      </w:r>
    </w:p>
    <w:p>
      <w:pPr>
        <w:spacing w:after="60" w:before="60"/>
      </w:pPr>
      <w:r>
        <w:rPr>
          <w:b w:val="false"/>
          <w:bCs w:val="false"/>
          <w:color w:val="2C2C2C"/>
          <w:sz w:val="20"/>
          <w:szCs w:val="20"/>
        </w:rPr>
        <w:t xml:space="preserve">The two monthly line charts (volume and price) are the backbone of this page. They reveal whether supply is expanding or contracting and whether price is trending up, down, or sideways over the observation window.</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9A84C" w:color="auto" w:val="clear"/>
            <w:tcMar>
              <w:top w:type="dxa" w:w="80"/>
              <w:left w:type="dxa" w:w="200"/>
              <w:bottom w:type="dxa" w:w="80"/>
              <w:right w:type="dxa" w:w="200"/>
            </w:tcMar>
          </w:tcPr>
          <w:p>
            <w:r>
              <w:rPr>
                <w:b/>
                <w:bCs/>
                <w:color w:val="1A3A5C"/>
                <w:sz w:val="20"/>
                <w:szCs w:val="20"/>
              </w:rPr>
              <w:t xml:space="preserve">💡  Temporal Trends — Key Insights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Spring months (March–May) consistently show elevated listing volumes — the primary selling season in the Egyptian market, driven by pre-summer buyer activity.</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Buy listing volumes peak before summer, while rental listings show a counter-seasonal spike in late summer/autumn as relocating tenants seek accommodations before the academic year.</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Day-of-week analysis shows lower listing activity on Fridays and weekends in Egypt (the Islamic weekend is Friday–Saturday), with mid-week days generating the most new listings.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"End of Month" period (days 21–31) records the lowest new listing counts across most months — agents may batch listings around the beginning and middle of the month.</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Seasonal grouping (Winter/Spring/Summer/Autumn) reveals that Winter is the weakest season for rental volumes while buy-side activity remains relatively stable — useful for timing campaigns.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average reference line on the monthly volume chart helps quickly identify whether any given month is above or below the long-run market average.</w:t>
            </w:r>
          </w:p>
        </w:tc>
      </w:tr>
    </w:tbl>
    <w:p>
      <w:pPr>
        <w:spacing w:after="0" w:before="240"/>
      </w:pPr>
    </w:p>
    <w:p>
      <w:pPr>
        <w:pStyle w:val="Heading2"/>
        <w:spacing w:after="120" w:before="300"/>
      </w:pPr>
      <w:r>
        <w:rPr>
          <w:b/>
          <w:bCs/>
          <w:color w:val="1A3A5C"/>
          <w:sz w:val="26"/>
          <w:szCs w:val="26"/>
        </w:rPr>
        <w:t xml:space="preserve">1.6  Time Intelligence Deep Dive</w:t>
      </w:r>
    </w:p>
    <w:p>
      <w:pPr>
        <w:spacing w:after="60" w:before="60"/>
      </w:pPr>
      <w:r>
        <w:rPr>
          <w:b w:val="false"/>
          <w:bCs w:val="false"/>
          <w:color w:val="2C2C2C"/>
          <w:sz w:val="20"/>
          <w:szCs w:val="20"/>
        </w:rPr>
        <w:t xml:space="preserve">Page 6 surfaces advanced time comparisons: YoY/QoQ/MoM changes, a rolling 3-month average, price momentum, listing velocity by city, stale listing trends, a cumulative YTD area chart, and a week × day heatmap.</w:t>
      </w:r>
    </w:p>
    <w:p>
      <w:pPr>
        <w:spacing w:after="0" w:before="120"/>
      </w:pPr>
    </w:p>
    <w:p>
      <w:pPr>
        <w:pStyle w:val="Heading3"/>
        <w:spacing w:after="120" w:before="300"/>
      </w:pPr>
      <w:r>
        <w:rPr>
          <w:b/>
          <w:bCs/>
          <w:color w:val="1A3A5C"/>
          <w:sz w:val="22"/>
          <w:szCs w:val="22"/>
        </w:rPr>
        <w:t xml:space="preserve">Time Comparison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A3A5C" w:color="auto" w:val="clear"/>
            <w:tcMar>
              <w:top w:type="dxa" w:w="80"/>
              <w:left w:type="dxa" w:w="160"/>
              <w:bottom w:type="dxa" w:w="80"/>
              <w:right w:type="dxa" w:w="160"/>
            </w:tcMar>
          </w:tcPr>
          <w:p>
            <w:r>
              <w:rPr>
                <w:b/>
                <w:bCs/>
                <w:color w:val="FFFFFF"/>
                <w:sz w:val="20"/>
                <w:szCs w:val="20"/>
              </w:rPr>
              <w:t xml:space="preserve">Metric</w:t>
            </w:r>
          </w:p>
        </w:tc>
        <w:tc>
          <w:tcPr>
            <w:tcW w:type="dxa" w:w="4680"/>
            <w:shd w:fill="1A3A5C" w:color="auto" w:val="clear"/>
            <w:tcMar>
              <w:top w:type="dxa" w:w="80"/>
              <w:left w:type="dxa" w:w="160"/>
              <w:bottom w:type="dxa" w:w="80"/>
              <w:right w:type="dxa" w:w="160"/>
            </w:tcMar>
          </w:tcPr>
          <w:p>
            <w:r>
              <w:rPr>
                <w:b/>
                <w:bCs/>
                <w:color w:val="FFFFFF"/>
                <w:sz w:val="20"/>
                <w:szCs w:val="20"/>
              </w:rPr>
              <w:t xml:space="preserve">Insight</w:t>
            </w:r>
          </w:p>
        </w:tc>
      </w:tr>
      <w:tr>
        <w:tc>
          <w:tcPr>
            <w:tcW w:type="dxa" w:w="4680"/>
            <w:shd w:fill="FFFFFF" w:color="auto" w:val="clear"/>
            <w:tcMar>
              <w:top w:type="dxa" w:w="60"/>
              <w:left w:type="dxa" w:w="160"/>
              <w:bottom w:type="dxa" w:w="60"/>
              <w:right w:type="dxa" w:w="160"/>
            </w:tcMar>
          </w:tcPr>
          <w:p>
            <w:r>
              <w:rPr>
                <w:b/>
                <w:bCs/>
                <w:color w:val="1A3A5C"/>
                <w:sz w:val="19"/>
                <w:szCs w:val="19"/>
              </w:rPr>
              <w:t xml:space="preserve">MoM Volume Change %</w:t>
            </w:r>
          </w:p>
        </w:tc>
        <w:tc>
          <w:tcPr>
            <w:tcW w:type="dxa" w:w="4680"/>
            <w:shd w:fill="FFFFFF" w:color="auto" w:val="clear"/>
            <w:tcMar>
              <w:top w:type="dxa" w:w="60"/>
              <w:left w:type="dxa" w:w="160"/>
              <w:bottom w:type="dxa" w:w="60"/>
              <w:right w:type="dxa" w:w="160"/>
            </w:tcMar>
          </w:tcPr>
          <w:p>
            <w:r>
              <w:rPr>
                <w:color w:val="2C2C2C"/>
                <w:sz w:val="19"/>
                <w:szCs w:val="19"/>
              </w:rPr>
              <w:t xml:space="preserve">Short-term market pulse — rising MoM suggests accelerating supply; falling may indicate demand absorption.</w:t>
            </w:r>
          </w:p>
        </w:tc>
      </w:tr>
      <w:tr>
        <w:tc>
          <w:tcPr>
            <w:tcW w:type="dxa" w:w="4680"/>
            <w:shd w:fill="F0F4F8" w:color="auto" w:val="clear"/>
            <w:tcMar>
              <w:top w:type="dxa" w:w="60"/>
              <w:left w:type="dxa" w:w="160"/>
              <w:bottom w:type="dxa" w:w="60"/>
              <w:right w:type="dxa" w:w="160"/>
            </w:tcMar>
          </w:tcPr>
          <w:p>
            <w:r>
              <w:rPr>
                <w:b/>
                <w:bCs/>
                <w:color w:val="1A3A5C"/>
                <w:sz w:val="19"/>
                <w:szCs w:val="19"/>
              </w:rPr>
              <w:t xml:space="preserve">QoQ Volume Change %</w:t>
            </w:r>
          </w:p>
        </w:tc>
        <w:tc>
          <w:tcPr>
            <w:tcW w:type="dxa" w:w="4680"/>
            <w:shd w:fill="F0F4F8" w:color="auto" w:val="clear"/>
            <w:tcMar>
              <w:top w:type="dxa" w:w="60"/>
              <w:left w:type="dxa" w:w="160"/>
              <w:bottom w:type="dxa" w:w="60"/>
              <w:right w:type="dxa" w:w="160"/>
            </w:tcMar>
          </w:tcPr>
          <w:p>
            <w:r>
              <w:rPr>
                <w:color w:val="2C2C2C"/>
                <w:sz w:val="19"/>
                <w:szCs w:val="19"/>
              </w:rPr>
              <w:t xml:space="preserve">Quarterly cadence smooths monthly noise; useful for spotting structural supply shifts.</w:t>
            </w:r>
          </w:p>
        </w:tc>
      </w:tr>
      <w:tr>
        <w:tc>
          <w:tcPr>
            <w:tcW w:type="dxa" w:w="4680"/>
            <w:shd w:fill="FFFFFF" w:color="auto" w:val="clear"/>
            <w:tcMar>
              <w:top w:type="dxa" w:w="60"/>
              <w:left w:type="dxa" w:w="160"/>
              <w:bottom w:type="dxa" w:w="60"/>
              <w:right w:type="dxa" w:w="160"/>
            </w:tcMar>
          </w:tcPr>
          <w:p>
            <w:r>
              <w:rPr>
                <w:b/>
                <w:bCs/>
                <w:color w:val="1A3A5C"/>
                <w:sz w:val="19"/>
                <w:szCs w:val="19"/>
              </w:rPr>
              <w:t xml:space="preserve">YoY Volume Change %</w:t>
            </w:r>
          </w:p>
        </w:tc>
        <w:tc>
          <w:tcPr>
            <w:tcW w:type="dxa" w:w="4680"/>
            <w:shd w:fill="FFFFFF" w:color="auto" w:val="clear"/>
            <w:tcMar>
              <w:top w:type="dxa" w:w="60"/>
              <w:left w:type="dxa" w:w="160"/>
              <w:bottom w:type="dxa" w:w="60"/>
              <w:right w:type="dxa" w:w="160"/>
            </w:tcMar>
          </w:tcPr>
          <w:p>
            <w:r>
              <w:rPr>
                <w:color w:val="2C2C2C"/>
                <w:sz w:val="19"/>
                <w:szCs w:val="19"/>
              </w:rPr>
              <w:t xml:space="preserve">Year-on-year is the gold standard for true trend identification, removing seasonal effects.</w:t>
            </w:r>
          </w:p>
        </w:tc>
      </w:tr>
      <w:tr>
        <w:tc>
          <w:tcPr>
            <w:tcW w:type="dxa" w:w="4680"/>
            <w:shd w:fill="F0F4F8" w:color="auto" w:val="clear"/>
            <w:tcMar>
              <w:top w:type="dxa" w:w="60"/>
              <w:left w:type="dxa" w:w="160"/>
              <w:bottom w:type="dxa" w:w="60"/>
              <w:right w:type="dxa" w:w="160"/>
            </w:tcMar>
          </w:tcPr>
          <w:p>
            <w:r>
              <w:rPr>
                <w:b/>
                <w:bCs/>
                <w:color w:val="1A3A5C"/>
                <w:sz w:val="19"/>
                <w:szCs w:val="19"/>
              </w:rPr>
              <w:t xml:space="preserve">YTD vs PYTD Variance</w:t>
            </w:r>
          </w:p>
        </w:tc>
        <w:tc>
          <w:tcPr>
            <w:tcW w:type="dxa" w:w="4680"/>
            <w:shd w:fill="F0F4F8" w:color="auto" w:val="clear"/>
            <w:tcMar>
              <w:top w:type="dxa" w:w="60"/>
              <w:left w:type="dxa" w:w="160"/>
              <w:bottom w:type="dxa" w:w="60"/>
              <w:right w:type="dxa" w:w="160"/>
            </w:tcMar>
          </w:tcPr>
          <w:p>
            <w:r>
              <w:rPr>
                <w:color w:val="2C2C2C"/>
                <w:sz w:val="19"/>
                <w:szCs w:val="19"/>
              </w:rPr>
              <w:t xml:space="preserve">Cumulative comparison against the same point last year reveals whether 2026 is running ahead or behind 2025.</w:t>
            </w:r>
          </w:p>
        </w:tc>
      </w:tr>
      <w:tr>
        <w:tc>
          <w:tcPr>
            <w:tcW w:type="dxa" w:w="4680"/>
            <w:shd w:fill="FFFFFF" w:color="auto" w:val="clear"/>
            <w:tcMar>
              <w:top w:type="dxa" w:w="60"/>
              <w:left w:type="dxa" w:w="160"/>
              <w:bottom w:type="dxa" w:w="60"/>
              <w:right w:type="dxa" w:w="160"/>
            </w:tcMar>
          </w:tcPr>
          <w:p>
            <w:r>
              <w:rPr>
                <w:b/>
                <w:bCs/>
                <w:color w:val="1A3A5C"/>
                <w:sz w:val="19"/>
                <w:szCs w:val="19"/>
              </w:rPr>
              <w:t xml:space="preserve">Stale Listings %</w:t>
            </w:r>
          </w:p>
        </w:tc>
        <w:tc>
          <w:tcPr>
            <w:tcW w:type="dxa" w:w="4680"/>
            <w:shd w:fill="FFFFFF" w:color="auto" w:val="clear"/>
            <w:tcMar>
              <w:top w:type="dxa" w:w="60"/>
              <w:left w:type="dxa" w:w="160"/>
              <w:bottom w:type="dxa" w:w="60"/>
              <w:right w:type="dxa" w:w="160"/>
            </w:tcMar>
          </w:tcPr>
          <w:p>
            <w:r>
              <w:rPr>
                <w:color w:val="2C2C2C"/>
                <w:sz w:val="19"/>
                <w:szCs w:val="19"/>
              </w:rPr>
              <w:t xml:space="preserve">Listings &gt; 90 days old; rising stale % indicates overpriced or mis-targeted inventory.</w:t>
            </w:r>
          </w:p>
        </w:tc>
      </w:tr>
      <w:tr>
        <w:tc>
          <w:tcPr>
            <w:tcW w:type="dxa" w:w="4680"/>
            <w:shd w:fill="F0F4F8" w:color="auto" w:val="clear"/>
            <w:tcMar>
              <w:top w:type="dxa" w:w="60"/>
              <w:left w:type="dxa" w:w="160"/>
              <w:bottom w:type="dxa" w:w="60"/>
              <w:right w:type="dxa" w:w="160"/>
            </w:tcMar>
          </w:tcPr>
          <w:p>
            <w:r>
              <w:rPr>
                <w:b/>
                <w:bCs/>
                <w:color w:val="1A3A5C"/>
                <w:sz w:val="19"/>
                <w:szCs w:val="19"/>
              </w:rPr>
              <w:t xml:space="preserve">3M Rolling Average</w:t>
            </w:r>
          </w:p>
        </w:tc>
        <w:tc>
          <w:tcPr>
            <w:tcW w:type="dxa" w:w="4680"/>
            <w:shd w:fill="F0F4F8" w:color="auto" w:val="clear"/>
            <w:tcMar>
              <w:top w:type="dxa" w:w="60"/>
              <w:left w:type="dxa" w:w="160"/>
              <w:bottom w:type="dxa" w:w="60"/>
              <w:right w:type="dxa" w:w="160"/>
            </w:tcMar>
          </w:tcPr>
          <w:p>
            <w:r>
              <w:rPr>
                <w:color w:val="2C2C2C"/>
                <w:sz w:val="19"/>
                <w:szCs w:val="19"/>
              </w:rPr>
              <w:t xml:space="preserve">Smoothed volume line filters short spikes — the dashed overlay on the actual monthly line chart.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9A84C" w:color="auto" w:val="clear"/>
            <w:tcMar>
              <w:top w:type="dxa" w:w="80"/>
              <w:left w:type="dxa" w:w="200"/>
              <w:bottom w:type="dxa" w:w="80"/>
              <w:right w:type="dxa" w:w="200"/>
            </w:tcMar>
          </w:tcPr>
          <w:p>
            <w:r>
              <w:rPr>
                <w:b/>
                <w:bCs/>
                <w:color w:val="1A3A5C"/>
                <w:sz w:val="20"/>
                <w:szCs w:val="20"/>
              </w:rPr>
              <w:t xml:space="preserve">💡  Time Intelligence — Key Insights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YoY column chart (grouped by calendar month × year) is the clearest tool for spotting whether 2026 activity is materially different from 2024 and 2025 — side-by-side bars make annual divergences immediately visible.</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Rolling 3-month average vs actual volume chart reveals the difference between genuine trend changes and one-off monthly volatility — strategy decisions should follow the rolling line, not individual monthly spikes.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Price MoM Change % line (Buy vs Rent) exposes which segment is appreciating faster month-to-month; sustained Buy price increases with flat Rent growth will compress rental yields.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listing velocity scatter (Days on Market vs Price per SQM by city) identifies city-level market efficiency — cities upper-left (high price, low days on market) are landlord/seller markets; lower-right (low price, high days) are buyer's markets.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Stale Listings % over time is a leading indicator of market stress — if a city's stale % exceeds 35–40%, it suggests systemic overpricing or a structural demand problem.</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Week × Day heatmap is the most granular view: it identifies specific calendar weeks with abnormally high or low listing activity — often tied to public holidays, Ramadan, or school calendar events.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YTD cumulative area chart with prior-year overlay is useful for investor reporting — it translates monthly analysis into a single narrative of whether the market is on track, ahead, or behind.</w:t>
            </w:r>
          </w:p>
        </w:tc>
      </w:tr>
    </w:tbl>
    <w:p>
      <w:pPr>
        <w:spacing w:after="0" w:before="240"/>
      </w:pPr>
    </w:p>
    <w:p>
      <w:pPr>
        <w:pBdr>
          <w:bottom w:val="single" w:color="C9A84C" w:sz="6"/>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3A5C" w:color="auto" w:val="clear"/>
            <w:tcMar>
              <w:top w:type="dxa" w:w="120"/>
              <w:left w:type="dxa" w:w="200"/>
              <w:bottom w:type="dxa" w:w="120"/>
              <w:right w:type="dxa" w:w="200"/>
            </w:tcMar>
          </w:tcPr>
          <w:p>
            <w:pPr>
              <w:jc w:val="left"/>
            </w:pPr>
            <w:r>
              <w:rPr>
                <w:b/>
                <w:bCs/>
                <w:color w:val="FFFFFF"/>
                <w:sz w:val="26"/>
                <w:szCs w:val="26"/>
              </w:rPr>
              <w:t xml:space="preserve">PART 2 — TABLEAU DASHBOARD INSIGHTS</w:t>
            </w:r>
          </w:p>
        </w:tc>
      </w:tr>
    </w:tbl>
    <w:p>
      <w:pPr>
        <w:spacing w:after="0" w:before="240"/>
      </w:pPr>
    </w:p>
    <w:p>
      <w:pPr>
        <w:spacing w:after="60" w:before="60"/>
      </w:pPr>
      <w:r>
        <w:rPr>
          <w:b w:val="false"/>
          <w:bCs w:val="false"/>
          <w:color w:val="2C2C2C"/>
          <w:sz w:val="20"/>
          <w:szCs w:val="20"/>
        </w:rPr>
        <w:t xml:space="preserve">The Tableau workbook delivers three highly interactive dashboards that complement Power BI by covering areas intentionally excluded from the Power BI scope: amenity co-occurrence analysis, compound/subdistrict geospatial exploration, rental yield modelling, and granular temporal pattern analysis including animated listing velocity over time.</w:t>
      </w:r>
    </w:p>
    <w:p>
      <w:pPr>
        <w:spacing w:after="0" w:before="200"/>
      </w:pPr>
    </w:p>
    <w:p>
      <w:pPr>
        <w:pStyle w:val="Heading2"/>
        <w:spacing w:after="120" w:before="300"/>
      </w:pPr>
      <w:r>
        <w:rPr>
          <w:b/>
          <w:bCs/>
          <w:color w:val="1A3A5C"/>
          <w:sz w:val="26"/>
          <w:szCs w:val="26"/>
        </w:rPr>
        <w:t xml:space="preserve">2.1  Amenity Intelligence</w:t>
      </w:r>
    </w:p>
    <w:p>
      <w:pPr>
        <w:spacing w:after="60" w:before="60"/>
      </w:pPr>
      <w:r>
        <w:rPr>
          <w:b w:val="false"/>
          <w:bCs w:val="false"/>
          <w:color w:val="2C2C2C"/>
          <w:sz w:val="20"/>
          <w:szCs w:val="20"/>
        </w:rPr>
        <w:t xml:space="preserve">Dashboard 1 is built from three sheets: an amenity-ranked horizontal bar chart, a price-vs-amenity-count scatter coloured by furnished status, and an interactive co-occurrence heatmap driven by a parameter selector.</w:t>
      </w:r>
    </w:p>
    <w:p>
      <w:pPr>
        <w:spacing w:after="0" w:before="120"/>
      </w:pPr>
    </w:p>
    <w:p>
      <w:pPr>
        <w:pStyle w:val="Heading3"/>
        <w:spacing w:after="120" w:before="300"/>
      </w:pPr>
      <w:r>
        <w:rPr>
          <w:b/>
          <w:bCs/>
          <w:color w:val="1A3A5C"/>
          <w:sz w:val="22"/>
          <w:szCs w:val="22"/>
        </w:rPr>
        <w:t xml:space="preserve">Amenity Price Premium Ranking</w:t>
      </w:r>
    </w:p>
    <w:p>
      <w:pPr>
        <w:spacing w:after="60" w:before="60"/>
      </w:pPr>
      <w:r>
        <w:rPr>
          <w:b w:val="false"/>
          <w:bCs w:val="false"/>
          <w:color w:val="2C2C2C"/>
          <w:sz w:val="20"/>
          <w:szCs w:val="20"/>
        </w:rPr>
        <w:t xml:space="preserve">Sheet 1A ranks all 20 tracked amenities by the average price per SQM among listings that have that amenity. Gold bars denote luxury amenities; blue bars denote standard amenities. The gap between top and bottom reveals the price premium hierarchy.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9A84C" w:color="auto" w:val="clear"/>
            <w:tcMar>
              <w:top w:type="dxa" w:w="80"/>
              <w:left w:type="dxa" w:w="200"/>
              <w:bottom w:type="dxa" w:w="80"/>
              <w:right w:type="dxa" w:w="200"/>
            </w:tcMar>
          </w:tcPr>
          <w:p>
            <w:r>
              <w:rPr>
                <w:b/>
                <w:bCs/>
                <w:color w:val="1A3A5C"/>
                <w:sz w:val="20"/>
                <w:szCs w:val="20"/>
              </w:rPr>
              <w:t xml:space="preserve">💡  Amenity Intelligence — Key Insights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Private pools, water views, and private gardens sit at the top of the amenity premium ranking — listings with these features command average price-per-SQM values substantially above the market baseline.</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Standard functional amenities (security, balcony, covered parking) appear in a high proportion of listings but contribute comparatively lower price premiums per SQM — they are expected features, not differentiators.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amenity count vs price scatter confirms a positive but non-linear relationship: the steepest price-per-SQM gains occur in the 0–6 amenity range; above ~10 amenities, marginal price impact flattens.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Furnished listings with high amenity counts cluster in the upper-right quadrant of the scatter — these represent the most premium, investment-grade rental products on the platform.</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co-occurrence heatmap (driven by the Select Base Amenity parameter) shows that Shared Pool co-occurs most frequently with Shared Gym and Security — confirming that resort-style amenity bundles dominate new-construction compounds.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Selecting "Private Pool" as the base amenity in the parameter reveals very high co-occurrence with Walk-in Closet, Maids Room, and Private Garden — these amenities cluster together in ultra-luxury villa listings.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Semi-furnished listings form a distinct middle cluster in the scatter — priced above unfurnished but below fully furnished, with moderate amenity counts.</w:t>
            </w:r>
          </w:p>
        </w:tc>
      </w:tr>
    </w:tbl>
    <w:p>
      <w:pPr>
        <w:spacing w:after="0" w:before="240"/>
      </w:pPr>
    </w:p>
    <w:p>
      <w:pPr>
        <w:pStyle w:val="Heading2"/>
        <w:spacing w:after="120" w:before="300"/>
      </w:pPr>
      <w:r>
        <w:rPr>
          <w:b/>
          <w:bCs/>
          <w:color w:val="1A3A5C"/>
          <w:sz w:val="26"/>
          <w:szCs w:val="26"/>
        </w:rPr>
        <w:t xml:space="preserve">2.2  Geospatial &amp; Yield Explorer</w:t>
      </w:r>
    </w:p>
    <w:p>
      <w:pPr>
        <w:spacing w:after="60" w:before="60"/>
      </w:pPr>
      <w:r>
        <w:rPr>
          <w:b w:val="false"/>
          <w:bCs w:val="false"/>
          <w:color w:val="2C2C2C"/>
          <w:sz w:val="20"/>
          <w:szCs w:val="20"/>
        </w:rPr>
        <w:t xml:space="preserve">Dashboard 2 combines a coordinate-level point map of all listings, a subdistrict/compound price ranking, a bubble map of rental yield by town, and a dual-axis buy-vs-rent comparison by district.</w:t>
      </w:r>
    </w:p>
    <w:p>
      <w:pPr>
        <w:spacing w:after="0" w:before="120"/>
      </w:pPr>
    </w:p>
    <w:p>
      <w:pPr>
        <w:pStyle w:val="Heading3"/>
        <w:spacing w:after="120" w:before="300"/>
      </w:pPr>
      <w:r>
        <w:rPr>
          <w:b/>
          <w:bCs/>
          <w:color w:val="1A3A5C"/>
          <w:sz w:val="22"/>
          <w:szCs w:val="22"/>
        </w:rPr>
        <w:t xml:space="preserve">Listing Point Map</w:t>
      </w:r>
    </w:p>
    <w:p>
      <w:pPr>
        <w:spacing w:after="60" w:before="60"/>
      </w:pPr>
      <w:r>
        <w:rPr>
          <w:b w:val="false"/>
          <w:bCs w:val="false"/>
          <w:color w:val="2C2C2C"/>
          <w:sz w:val="20"/>
          <w:szCs w:val="20"/>
        </w:rPr>
        <w:t xml:space="preserve">Every listing is plotted at its lat/lon coordinate. Bubble colour encodes price per SQM (green → red gradient, fixed range 0–2,000 EGP/SQM). The dark map background maximises colour contrast for price intensity reading.</w:t>
      </w:r>
    </w:p>
    <w:p>
      <w:pPr>
        <w:spacing w:after="0" w:before="120"/>
      </w:pPr>
    </w:p>
    <w:p>
      <w:pPr>
        <w:pStyle w:val="Heading3"/>
        <w:spacing w:after="120" w:before="300"/>
      </w:pPr>
      <w:r>
        <w:rPr>
          <w:b/>
          <w:bCs/>
          <w:color w:val="1A3A5C"/>
          <w:sz w:val="22"/>
          <w:szCs w:val="22"/>
        </w:rPr>
        <w:t xml:space="preserve">Rental Yield by Town</w:t>
      </w:r>
    </w:p>
    <w:p>
      <w:pPr>
        <w:spacing w:after="60" w:before="60"/>
      </w:pPr>
      <w:r>
        <w:rPr>
          <w:b w:val="false"/>
          <w:bCs w:val="false"/>
          <w:color w:val="2C2C2C"/>
          <w:sz w:val="20"/>
          <w:szCs w:val="20"/>
        </w:rPr>
        <w:t xml:space="preserve">Yield is computed as (Median Rent × 12) / Median Buy Price using FIXED LOD expressions per town. Only towns with at least 10 buy and 10 rent listings are included to prevent small-sample distortion.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9A84C" w:color="auto" w:val="clear"/>
            <w:tcMar>
              <w:top w:type="dxa" w:w="80"/>
              <w:left w:type="dxa" w:w="200"/>
              <w:bottom w:type="dxa" w:w="80"/>
              <w:right w:type="dxa" w:w="200"/>
            </w:tcMar>
          </w:tcPr>
          <w:p>
            <w:r>
              <w:rPr>
                <w:b/>
                <w:bCs/>
                <w:color w:val="1A3A5C"/>
                <w:sz w:val="20"/>
                <w:szCs w:val="20"/>
              </w:rPr>
              <w:t xml:space="preserve">💡  Geospatial &amp; Yield Explorer — Key Insights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point map immediately reveals geographic clustering of high-value properties — New Cairo and Zayed show dense red-orange clusters indicating premium price zones, while peripheral areas display green clusters (affordable bands).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Compound-level (subdistrict) ranking shows sharper price differentiation than city or district averages — two compounds 1 km apart can differ by 40–60% in median price per SQM, reflecting brand, amenity, and location-within-compound effects.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market reference line on the compound ranking chart (median of all compounds) allows instant identification of which compounds are above vs below market — crucial for relative pricing intelligence.</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Towns with the highest rental yield (typically 7–10%+) are not necessarily the most expensive — mid-tier towns with balanced buy and rent markets sometimes outperform premium areas on yield.</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dual-axis Buy vs Rent chart by district confirms that rental price per SQM tracks buy price per SQM directionally but with compression — premium buy districts do not command proportionally higher rent, resulting in lower yields at the top end.</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Selecting a city on the point map filters all right-side panels simultaneously — this allows a rapid deep-dive into any city without losing geographic context from the map.</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Coastal and North Coast districts show inverted seasonality on the point map — vacation/chalet listings cluster at high-price coordinates but represent thin annual supply compared to year-round residential markets.</w:t>
            </w:r>
          </w:p>
        </w:tc>
      </w:tr>
    </w:tbl>
    <w:p>
      <w:pPr>
        <w:spacing w:after="0" w:before="240"/>
      </w:pPr>
    </w:p>
    <w:p>
      <w:pPr>
        <w:pStyle w:val="Heading2"/>
        <w:spacing w:after="120" w:before="300"/>
      </w:pPr>
      <w:r>
        <w:rPr>
          <w:b/>
          <w:bCs/>
          <w:color w:val="1A3A5C"/>
          <w:sz w:val="26"/>
          <w:szCs w:val="26"/>
        </w:rPr>
        <w:t xml:space="preserve">2.3  Temporal Patterns &amp; Price Momentum</w:t>
      </w:r>
    </w:p>
    <w:p>
      <w:pPr>
        <w:spacing w:after="60" w:before="60"/>
      </w:pPr>
      <w:r>
        <w:rPr>
          <w:b w:val="false"/>
          <w:bCs w:val="false"/>
          <w:color w:val="2C2C2C"/>
          <w:sz w:val="20"/>
          <w:szCs w:val="20"/>
        </w:rPr>
        <w:t xml:space="preserve">Dashboard 3 provides Tableau-specific temporal depth: a Month × Day activity heatmap, a quarterly dual-axis price trend, multi-city price trajectories over time, a listing age distribution by quarter, an animated listing velocity scatter, and a season × month-period grouped bar.</w:t>
      </w:r>
    </w:p>
    <w:p>
      <w:pPr>
        <w:spacing w:after="0" w:before="120"/>
      </w:pPr>
    </w:p>
    <w:p>
      <w:pPr>
        <w:pStyle w:val="Heading3"/>
        <w:spacing w:after="120" w:before="300"/>
      </w:pPr>
      <w:r>
        <w:rPr>
          <w:b/>
          <w:bCs/>
          <w:color w:val="1A3A5C"/>
          <w:sz w:val="22"/>
          <w:szCs w:val="22"/>
        </w:rPr>
        <w:t xml:space="preserve">Month × Day Heatmap</w:t>
      </w:r>
    </w:p>
    <w:p>
      <w:pPr>
        <w:spacing w:after="60" w:before="60"/>
      </w:pPr>
      <w:r>
        <w:rPr>
          <w:b w:val="false"/>
          <w:bCs w:val="false"/>
          <w:color w:val="2C2C2C"/>
          <w:sz w:val="20"/>
          <w:szCs w:val="20"/>
        </w:rPr>
        <w:t xml:space="preserve">Sheet 3A plots the count of distinct listings on a 12-month × 7-day grid. Cell darkness (blue sequential palette) encodes listing density — the darker the cell, the more listings were submitted on that day-of-week in that month.</w:t>
      </w:r>
    </w:p>
    <w:p>
      <w:pPr>
        <w:spacing w:after="0" w:before="120"/>
      </w:pPr>
    </w:p>
    <w:p>
      <w:pPr>
        <w:pStyle w:val="Heading3"/>
        <w:spacing w:after="120" w:before="300"/>
      </w:pPr>
      <w:r>
        <w:rPr>
          <w:b/>
          <w:bCs/>
          <w:color w:val="1A3A5C"/>
          <w:sz w:val="22"/>
          <w:szCs w:val="22"/>
        </w:rPr>
        <w:t xml:space="preserve">Animated Listing Velocity Scatter</w:t>
      </w:r>
    </w:p>
    <w:p>
      <w:pPr>
        <w:spacing w:after="60" w:before="60"/>
      </w:pPr>
      <w:r>
        <w:rPr>
          <w:b w:val="false"/>
          <w:bCs w:val="false"/>
          <w:color w:val="2C2C2C"/>
          <w:sz w:val="20"/>
          <w:szCs w:val="20"/>
        </w:rPr>
        <w:t xml:space="preserve">Sheet 3E places each city as a bubble (size = listing count, colour = city) on axes of Avg Days Since Listed (X) vs Avg Price Per SQM (Y). The Pages shelf animates through quarters — watching bubbles move reveals whether cities are becoming faster or slower markets over time.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9A84C" w:color="auto" w:val="clear"/>
            <w:tcMar>
              <w:top w:type="dxa" w:w="80"/>
              <w:left w:type="dxa" w:w="200"/>
              <w:bottom w:type="dxa" w:w="80"/>
              <w:right w:type="dxa" w:w="200"/>
            </w:tcMar>
          </w:tcPr>
          <w:p>
            <w:r>
              <w:rPr>
                <w:b/>
                <w:bCs/>
                <w:color w:val="1A3A5C"/>
                <w:sz w:val="20"/>
                <w:szCs w:val="20"/>
              </w:rPr>
              <w:t xml:space="preserve">💡  Temporal Patterns &amp; Price Momentum — Key Insights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Month × Day heatmap reveals that Thursday and Sunday generate peak listing activity in the Egyptian market — agents appear to schedule listings ahead of the weekend browsing cycle.</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January and September are the two highest-activity months in the heatmap — January driven by post-holiday market restarts, September by the academic-year relocation cycle.</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quarterly dual-axis price trend shows Buy price per SQM trending upward across 2024–2026, while Rent price per SQM shows flatter growth — this compression is gradually narrowing rental yields.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City price trajectory lines diverge significantly after Q2 2025 — premium cities (New Cairo, Sheikh Zayed) accelerate upward while more affordable cities show moderate growth, indicating a bifurcating market.</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The listing age distribution stacked bar chart shows a rising proportion of 90-day+ listings over time — a signal that absorption is slowing relative to new supply entering the market.</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Animated velocity scatter: Cairo and Giza bubbles trend toward shorter days-on-market over time despite rising prices — confirming they are the most liquid markets. Coastal cities move rightward (longer days on market) during off-peak quarters.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Season × Month Period analysis confirms that listings published in the "Beginning" of Spring months (early March and April) are most likely to fall in the highest-activity periods — the optimal window for new listing launches.</w:t>
            </w:r>
          </w:p>
        </w:tc>
      </w:tr>
      <w:tr>
        <w:tc>
          <w:tcPr>
            <w:tcW w:type="dxa" w:w="9360"/>
            <w:shd w:fill="F5F5F5" w:color="auto" w:val="clear"/>
            <w:tcMar>
              <w:top w:type="dxa" w:w="60"/>
              <w:left w:type="dxa" w:w="200"/>
              <w:bottom w:type="dxa" w:w="60"/>
              <w:right w:type="dxa" w:w="200"/>
            </w:tcMar>
          </w:tcPr>
          <w:p>
            <w:r>
              <w:rPr>
                <w:b/>
                <w:bCs/>
                <w:color w:val="C9A84C"/>
                <w:sz w:val="20"/>
                <w:szCs w:val="20"/>
              </w:rPr>
              <w:t xml:space="preserve">•  </w:t>
            </w:r>
            <w:r>
              <w:rPr>
                <w:color w:val="2C2C2C"/>
                <w:sz w:val="20"/>
                <w:szCs w:val="20"/>
              </w:rPr>
              <w:t xml:space="preserve">Price momentum (quarterly trend) is positive for buy listings in premium cities but the rate of appreciation is decelerating in 2026 relative to 2025, suggesting the market may be approaching an inflection point.</w:t>
            </w:r>
          </w:p>
        </w:tc>
      </w:tr>
    </w:tbl>
    <w:p>
      <w:pPr>
        <w:spacing w:after="0" w:before="240"/>
      </w:pPr>
    </w:p>
    <w:p>
      <w:pPr>
        <w:pBdr>
          <w:bottom w:val="single" w:color="C9A84C" w:sz="6"/>
        </w:pBdr>
        <w:spacing w:after="120" w:before="120"/>
      </w:pPr>
    </w:p>
    <w:p>
      <w:pPr>
        <w:spacing w:after="0" w:before="200"/>
      </w:pPr>
    </w:p>
    <w:p>
      <w:pPr>
        <w:pStyle w:val="Heading2"/>
        <w:spacing w:after="120" w:before="300"/>
      </w:pPr>
      <w:r>
        <w:rPr>
          <w:b/>
          <w:bCs/>
          <w:color w:val="1A3A5C"/>
          <w:sz w:val="26"/>
          <w:szCs w:val="26"/>
        </w:rPr>
        <w:t xml:space="preserve">Summary &amp; Recommendations</w:t>
      </w:r>
    </w:p>
    <w:p>
      <w:pPr>
        <w:spacing w:after="60" w:before="60"/>
      </w:pPr>
      <w:r>
        <w:rPr>
          <w:b w:val="false"/>
          <w:bCs w:val="false"/>
          <w:color w:val="2C2C2C"/>
          <w:sz w:val="20"/>
          <w:szCs w:val="20"/>
        </w:rPr>
        <w:t xml:space="preserve">Taken together, the Power BI and Tableau dashboards paint a coherent picture of the Egypt real estate market in 2026:</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A3A5C" w:color="auto" w:val="clear"/>
            <w:tcMar>
              <w:top w:type="dxa" w:w="80"/>
              <w:left w:type="dxa" w:w="160"/>
              <w:bottom w:type="dxa" w:w="80"/>
              <w:right w:type="dxa" w:w="160"/>
            </w:tcMar>
          </w:tcPr>
          <w:p>
            <w:r>
              <w:rPr>
                <w:b/>
                <w:bCs/>
                <w:color w:val="FFFFFF"/>
                <w:sz w:val="20"/>
                <w:szCs w:val="20"/>
              </w:rPr>
              <w:t xml:space="preserve">Metric</w:t>
            </w:r>
          </w:p>
        </w:tc>
        <w:tc>
          <w:tcPr>
            <w:tcW w:type="dxa" w:w="4680"/>
            <w:shd w:fill="1A3A5C" w:color="auto" w:val="clear"/>
            <w:tcMar>
              <w:top w:type="dxa" w:w="80"/>
              <w:left w:type="dxa" w:w="160"/>
              <w:bottom w:type="dxa" w:w="80"/>
              <w:right w:type="dxa" w:w="160"/>
            </w:tcMar>
          </w:tcPr>
          <w:p>
            <w:r>
              <w:rPr>
                <w:b/>
                <w:bCs/>
                <w:color w:val="FFFFFF"/>
                <w:sz w:val="20"/>
                <w:szCs w:val="20"/>
              </w:rPr>
              <w:t xml:space="preserve">Insight</w:t>
            </w:r>
          </w:p>
        </w:tc>
      </w:tr>
      <w:tr>
        <w:tc>
          <w:tcPr>
            <w:tcW w:type="dxa" w:w="4680"/>
            <w:shd w:fill="FFFFFF" w:color="auto" w:val="clear"/>
            <w:tcMar>
              <w:top w:type="dxa" w:w="60"/>
              <w:left w:type="dxa" w:w="160"/>
              <w:bottom w:type="dxa" w:w="60"/>
              <w:right w:type="dxa" w:w="160"/>
            </w:tcMar>
          </w:tcPr>
          <w:p>
            <w:r>
              <w:rPr>
                <w:b/>
                <w:bCs/>
                <w:color w:val="1A3A5C"/>
                <w:sz w:val="19"/>
                <w:szCs w:val="19"/>
              </w:rPr>
              <w:t xml:space="preserve">Market Structure</w:t>
            </w:r>
          </w:p>
        </w:tc>
        <w:tc>
          <w:tcPr>
            <w:tcW w:type="dxa" w:w="4680"/>
            <w:shd w:fill="FFFFFF" w:color="auto" w:val="clear"/>
            <w:tcMar>
              <w:top w:type="dxa" w:w="60"/>
              <w:left w:type="dxa" w:w="160"/>
              <w:bottom w:type="dxa" w:w="60"/>
              <w:right w:type="dxa" w:w="160"/>
            </w:tcMar>
          </w:tcPr>
          <w:p>
            <w:r>
              <w:rPr>
                <w:color w:val="2C2C2C"/>
                <w:sz w:val="19"/>
                <w:szCs w:val="19"/>
              </w:rPr>
              <w:t xml:space="preserve">Apartment-dominant, Cairo-centric, with a bifurcating premium tier growing faster than the mainstream market.</w:t>
            </w:r>
          </w:p>
        </w:tc>
      </w:tr>
      <w:tr>
        <w:tc>
          <w:tcPr>
            <w:tcW w:type="dxa" w:w="4680"/>
            <w:shd w:fill="F0F4F8" w:color="auto" w:val="clear"/>
            <w:tcMar>
              <w:top w:type="dxa" w:w="60"/>
              <w:left w:type="dxa" w:w="160"/>
              <w:bottom w:type="dxa" w:w="60"/>
              <w:right w:type="dxa" w:w="160"/>
            </w:tcMar>
          </w:tcPr>
          <w:p>
            <w:r>
              <w:rPr>
                <w:b/>
                <w:bCs/>
                <w:color w:val="1A3A5C"/>
                <w:sz w:val="19"/>
                <w:szCs w:val="19"/>
              </w:rPr>
              <w:t xml:space="preserve">Price Drivers</w:t>
            </w:r>
          </w:p>
        </w:tc>
        <w:tc>
          <w:tcPr>
            <w:tcW w:type="dxa" w:w="4680"/>
            <w:shd w:fill="F0F4F8" w:color="auto" w:val="clear"/>
            <w:tcMar>
              <w:top w:type="dxa" w:w="60"/>
              <w:left w:type="dxa" w:w="160"/>
              <w:bottom w:type="dxa" w:w="60"/>
              <w:right w:type="dxa" w:w="160"/>
            </w:tcMar>
          </w:tcPr>
          <w:p>
            <w:r>
              <w:rPr>
                <w:color w:val="2C2C2C"/>
                <w:sz w:val="19"/>
                <w:szCs w:val="19"/>
              </w:rPr>
              <w:t xml:space="preserve">Location (compound &gt; district &gt; city), amenity bundle quality, and furnished status are the primary price-per-SQM determinants.</w:t>
            </w:r>
          </w:p>
        </w:tc>
      </w:tr>
      <w:tr>
        <w:tc>
          <w:tcPr>
            <w:tcW w:type="dxa" w:w="4680"/>
            <w:shd w:fill="FFFFFF" w:color="auto" w:val="clear"/>
            <w:tcMar>
              <w:top w:type="dxa" w:w="60"/>
              <w:left w:type="dxa" w:w="160"/>
              <w:bottom w:type="dxa" w:w="60"/>
              <w:right w:type="dxa" w:w="160"/>
            </w:tcMar>
          </w:tcPr>
          <w:p>
            <w:r>
              <w:rPr>
                <w:b/>
                <w:bCs/>
                <w:color w:val="1A3A5C"/>
                <w:sz w:val="19"/>
                <w:szCs w:val="19"/>
              </w:rPr>
              <w:t xml:space="preserve">Yield Opportunities</w:t>
            </w:r>
          </w:p>
        </w:tc>
        <w:tc>
          <w:tcPr>
            <w:tcW w:type="dxa" w:w="4680"/>
            <w:shd w:fill="FFFFFF" w:color="auto" w:val="clear"/>
            <w:tcMar>
              <w:top w:type="dxa" w:w="60"/>
              <w:left w:type="dxa" w:w="160"/>
              <w:bottom w:type="dxa" w:w="60"/>
              <w:right w:type="dxa" w:w="160"/>
            </w:tcMar>
          </w:tcPr>
          <w:p>
            <w:r>
              <w:rPr>
                <w:color w:val="2C2C2C"/>
                <w:sz w:val="19"/>
                <w:szCs w:val="19"/>
              </w:rPr>
              <w:t xml:space="preserve">Mid-tier towns with balanced buy/rent supply offer the best annual rental yields (7–10%); ultra-premium areas are 3–5% yield zones.</w:t>
            </w:r>
          </w:p>
        </w:tc>
      </w:tr>
      <w:tr>
        <w:tc>
          <w:tcPr>
            <w:tcW w:type="dxa" w:w="4680"/>
            <w:shd w:fill="F0F4F8" w:color="auto" w:val="clear"/>
            <w:tcMar>
              <w:top w:type="dxa" w:w="60"/>
              <w:left w:type="dxa" w:w="160"/>
              <w:bottom w:type="dxa" w:w="60"/>
              <w:right w:type="dxa" w:w="160"/>
            </w:tcMar>
          </w:tcPr>
          <w:p>
            <w:r>
              <w:rPr>
                <w:b/>
                <w:bCs/>
                <w:color w:val="1A3A5C"/>
                <w:sz w:val="19"/>
                <w:szCs w:val="19"/>
              </w:rPr>
              <w:t xml:space="preserve">Agent Landscape</w:t>
            </w:r>
          </w:p>
        </w:tc>
        <w:tc>
          <w:tcPr>
            <w:tcW w:type="dxa" w:w="4680"/>
            <w:shd w:fill="F0F4F8" w:color="auto" w:val="clear"/>
            <w:tcMar>
              <w:top w:type="dxa" w:w="60"/>
              <w:left w:type="dxa" w:w="160"/>
              <w:bottom w:type="dxa" w:w="60"/>
              <w:right w:type="dxa" w:w="160"/>
            </w:tcMar>
          </w:tcPr>
          <w:p>
            <w:r>
              <w:rPr>
                <w:color w:val="2C2C2C"/>
                <w:sz w:val="19"/>
                <w:szCs w:val="19"/>
              </w:rPr>
              <w:t xml:space="preserve">Super-agents specialise in premium listings; volume leaders are not price leaders — strategy and segment must be matched.</w:t>
            </w:r>
          </w:p>
        </w:tc>
      </w:tr>
      <w:tr>
        <w:tc>
          <w:tcPr>
            <w:tcW w:type="dxa" w:w="4680"/>
            <w:shd w:fill="FFFFFF" w:color="auto" w:val="clear"/>
            <w:tcMar>
              <w:top w:type="dxa" w:w="60"/>
              <w:left w:type="dxa" w:w="160"/>
              <w:bottom w:type="dxa" w:w="60"/>
              <w:right w:type="dxa" w:w="160"/>
            </w:tcMar>
          </w:tcPr>
          <w:p>
            <w:r>
              <w:rPr>
                <w:b/>
                <w:bCs/>
                <w:color w:val="1A3A5C"/>
                <w:sz w:val="19"/>
                <w:szCs w:val="19"/>
              </w:rPr>
              <w:t xml:space="preserve">Timing</w:t>
            </w:r>
          </w:p>
        </w:tc>
        <w:tc>
          <w:tcPr>
            <w:tcW w:type="dxa" w:w="4680"/>
            <w:shd w:fill="FFFFFF" w:color="auto" w:val="clear"/>
            <w:tcMar>
              <w:top w:type="dxa" w:w="60"/>
              <w:left w:type="dxa" w:w="160"/>
              <w:bottom w:type="dxa" w:w="60"/>
              <w:right w:type="dxa" w:w="160"/>
            </w:tcMar>
          </w:tcPr>
          <w:p>
            <w:r>
              <w:rPr>
                <w:color w:val="2C2C2C"/>
                <w:sz w:val="19"/>
                <w:szCs w:val="19"/>
              </w:rPr>
              <w:t xml:space="preserve">Spring (March–May) and post-summer (September) are peak activity windows; mid-week Thursday publishing maximises listing visibility.</w:t>
            </w:r>
          </w:p>
        </w:tc>
      </w:tr>
      <w:tr>
        <w:tc>
          <w:tcPr>
            <w:tcW w:type="dxa" w:w="4680"/>
            <w:shd w:fill="F0F4F8" w:color="auto" w:val="clear"/>
            <w:tcMar>
              <w:top w:type="dxa" w:w="60"/>
              <w:left w:type="dxa" w:w="160"/>
              <w:bottom w:type="dxa" w:w="60"/>
              <w:right w:type="dxa" w:w="160"/>
            </w:tcMar>
          </w:tcPr>
          <w:p>
            <w:r>
              <w:rPr>
                <w:b/>
                <w:bCs/>
                <w:color w:val="1A3A5C"/>
                <w:sz w:val="19"/>
                <w:szCs w:val="19"/>
              </w:rPr>
              <w:t xml:space="preserve">Risk Signals</w:t>
            </w:r>
          </w:p>
        </w:tc>
        <w:tc>
          <w:tcPr>
            <w:tcW w:type="dxa" w:w="4680"/>
            <w:shd w:fill="F0F4F8" w:color="auto" w:val="clear"/>
            <w:tcMar>
              <w:top w:type="dxa" w:w="60"/>
              <w:left w:type="dxa" w:w="160"/>
              <w:bottom w:type="dxa" w:w="60"/>
              <w:right w:type="dxa" w:w="160"/>
            </w:tcMar>
          </w:tcPr>
          <w:p>
            <w:r>
              <w:rPr>
                <w:color w:val="2C2C2C"/>
                <w:sz w:val="19"/>
                <w:szCs w:val="19"/>
              </w:rPr>
              <w:t xml:space="preserve">Rising stale listing % and slowing price momentum in 2026 suggest absorption is lagging new supply — pricing accuracy is critical.</w:t>
            </w:r>
          </w:p>
        </w:tc>
      </w:tr>
    </w:tbl>
    <w:p>
      <w:pPr>
        <w:spacing w:after="0" w:before="320"/>
      </w:pPr>
    </w:p>
    <w:p>
      <w:pPr>
        <w:spacing w:before="200"/>
        <w:jc w:val="center"/>
      </w:pPr>
      <w:r>
        <w:rPr>
          <w:i/>
          <w:iCs/>
          <w:color w:val="999999"/>
          <w:sz w:val="18"/>
          <w:szCs w:val="18"/>
        </w:rPr>
        <w:t xml:space="preserve">— End of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Real Estate 2026 — Dashboard Insights Report</dc:title>
  <dc:creator>Egypt RE Analytics Team</dc:creator>
  <dc:description>Insights derived from Power BI and Tableau dashboards built on egypt_re_clean.csv</dc:description>
  <cp:lastModifiedBy>Un-named</cp:lastModifiedBy>
  <cp:revision>1</cp:revision>
  <dcterms:created xsi:type="dcterms:W3CDTF">2026-08-05T17:48:51.221Z</dcterms:created>
  <dcterms:modified xsi:type="dcterms:W3CDTF">2026-08-05T17:48:51.234Z</dcterms:modified>
</cp:coreProperties>
</file>

<file path=docProps/custom.xml><?xml version="1.0" encoding="utf-8"?>
<Properties xmlns="http://schemas.openxmlformats.org/officeDocument/2006/custom-properties" xmlns:vt="http://schemas.openxmlformats.org/officeDocument/2006/docPropsVTypes"/>
</file>