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before="80"/>
        <w:jc w:val="center"/>
      </w:pPr>
      <w:r>
        <w:rPr>
          <w:b/>
          <w:bCs/>
          <w:caps/>
          <w:color w:val="1E3A5F"/>
          <w:sz w:val="56"/>
          <w:szCs w:val="56"/>
        </w:rPr>
        <w:t xml:space="preserve">REAL-TIME US STOCKS DATA PIPELINE</w:t>
      </w:r>
    </w:p>
    <w:p>
      <w:pPr>
        <w:spacing w:after="8" w:before="8"/>
        <w:jc w:val="center"/>
      </w:pPr>
      <w:r>
        <w:rPr>
          <w:b/>
          <w:bCs/>
          <w:color w:val="C8A951"/>
          <w:sz w:val="44"/>
          <w:szCs w:val="44"/>
        </w:rPr>
        <w:t xml:space="preserve">M5 — Power BI Dashboard</w:t>
      </w:r>
    </w:p>
    <w:p>
      <w:pPr>
        <w:spacing w:after="40" w:before="8"/>
        <w:jc w:val="center"/>
      </w:pPr>
      <w:r>
        <w:rPr>
          <w:i/>
          <w:iCs/>
          <w:color w:val="555555"/>
          <w:sz w:val="26"/>
          <w:szCs w:val="26"/>
        </w:rPr>
        <w:t xml:space="preserve">Professional Business Insights, Analytics Guide &amp; Strategic Recommendations</w:t>
      </w:r>
    </w:p>
    <w:p>
      <w:pPr>
        <w:pBdr>
          <w:bottom w:val="single" w:color="D0D8E0" w:sz="4" w:space="2"/>
        </w:pBdr>
        <w:spacing w:after="12" w:before="12"/>
      </w:pPr>
    </w:p>
    <w:p>
      <w:pPr>
        <w:spacing w:after="0" w:before="12"/>
      </w:pPr>
    </w:p>
    <w:p>
      <w:pPr>
        <w:jc w:val="center"/>
      </w:pPr>
      <w:r>
        <w:rPr>
          <w:b/>
          <w:bCs/>
          <w:color w:val="1E3A5F"/>
          <w:sz w:val="24"/>
          <w:szCs w:val="24"/>
        </w:rPr>
        <w:t xml:space="preserve">Document Purpose</w:t>
      </w:r>
    </w:p>
    <w:p>
      <w:pPr>
        <w:spacing w:after="48" w:before="8"/>
        <w:jc w:val="center"/>
      </w:pPr>
      <w:r>
        <w:rPr>
          <w:color w:val="1A1A2E"/>
          <w:sz w:val="22"/>
          <w:szCs w:val="22"/>
        </w:rPr>
        <w:t xml:space="preserve">This document defines every insight surfaced in the four-page Power BI dashboard, explains what each visual tells a business analyst or portfolio manager, and translates the analytics into concrete, actionable business recommendations derived from the PostgreSQL analytics store (10 tables, 8 views) populated by Apache 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D6E4F0" w:val="clear"/>
            <w:tcMar>
              <w:top w:type="dxa" w:w="144"/>
              <w:left w:type="dxa" w:w="172"/>
              <w:bottom w:type="dxa" w:w="144"/>
              <w:right w:type="dxa" w:w="172"/>
            </w:tcMar>
            <w:vAlign w:val="center"/>
          </w:tcPr>
          <w:p>
            <w:pPr>
              <w:jc w:val="center"/>
            </w:pPr>
            <w:r>
              <w:rPr>
                <w:b/>
                <w:bCs/>
                <w:color w:val="2E6DA4"/>
                <w:sz w:val="44"/>
                <w:szCs w:val="44"/>
              </w:rPr>
              <w:t xml:space="preserve">10</w:t>
            </w:r>
          </w:p>
          <w:p>
            <w:pPr>
              <w:jc w:val="center"/>
            </w:pPr>
            <w:r>
              <w:rPr>
                <w:b/>
                <w:bCs/>
                <w:color w:val="1E3A5F"/>
                <w:sz w:val="20"/>
                <w:szCs w:val="20"/>
              </w:rPr>
              <w:t xml:space="preserve">Analytics Tables</w:t>
            </w:r>
          </w:p>
          <w:p>
            <w:pPr>
              <w:jc w:val="center"/>
            </w:pPr>
            <w:r>
              <w:rPr>
                <w:color w:val="777777"/>
                <w:sz w:val="18"/>
                <w:szCs w:val="18"/>
              </w:rPr>
              <w:t xml:space="preserve">PostgreSQL store</w:t>
            </w:r>
          </w:p>
        </w:tc>
        <w:tc>
          <w:tcPr>
            <w:shd w:fill="D6E4F0" w:val="clear"/>
            <w:tcMar>
              <w:top w:type="dxa" w:w="144"/>
              <w:left w:type="dxa" w:w="172"/>
              <w:bottom w:type="dxa" w:w="144"/>
              <w:right w:type="dxa" w:w="172"/>
            </w:tcMar>
            <w:vAlign w:val="center"/>
          </w:tcPr>
          <w:p>
            <w:pPr>
              <w:jc w:val="center"/>
            </w:pPr>
            <w:r>
              <w:rPr>
                <w:b/>
                <w:bCs/>
                <w:color w:val="2E6DA4"/>
                <w:sz w:val="44"/>
                <w:szCs w:val="44"/>
              </w:rPr>
              <w:t xml:space="preserve">4</w:t>
            </w:r>
          </w:p>
          <w:p>
            <w:pPr>
              <w:jc w:val="center"/>
            </w:pPr>
            <w:r>
              <w:rPr>
                <w:b/>
                <w:bCs/>
                <w:color w:val="1E3A5F"/>
                <w:sz w:val="20"/>
                <w:szCs w:val="20"/>
              </w:rPr>
              <w:t xml:space="preserve">Dashboard Pages</w:t>
            </w:r>
          </w:p>
          <w:p>
            <w:pPr>
              <w:jc w:val="center"/>
            </w:pPr>
            <w:r>
              <w:rPr>
                <w:color w:val="777777"/>
                <w:sz w:val="18"/>
                <w:szCs w:val="18"/>
              </w:rPr>
              <w:t xml:space="preserve">Power BI</w:t>
            </w:r>
          </w:p>
        </w:tc>
        <w:tc>
          <w:tcPr>
            <w:shd w:fill="D6E4F0" w:val="clear"/>
            <w:tcMar>
              <w:top w:type="dxa" w:w="144"/>
              <w:left w:type="dxa" w:w="172"/>
              <w:bottom w:type="dxa" w:w="144"/>
              <w:right w:type="dxa" w:w="172"/>
            </w:tcMar>
            <w:vAlign w:val="center"/>
          </w:tcPr>
          <w:p>
            <w:pPr>
              <w:jc w:val="center"/>
            </w:pPr>
            <w:r>
              <w:rPr>
                <w:b/>
                <w:bCs/>
                <w:color w:val="2E6DA4"/>
                <w:sz w:val="44"/>
                <w:szCs w:val="44"/>
              </w:rPr>
              <w:t xml:space="preserve">40+</w:t>
            </w:r>
          </w:p>
          <w:p>
            <w:pPr>
              <w:jc w:val="center"/>
            </w:pPr>
            <w:r>
              <w:rPr>
                <w:b/>
                <w:bCs/>
                <w:color w:val="1E3A5F"/>
                <w:sz w:val="20"/>
                <w:szCs w:val="20"/>
              </w:rPr>
              <w:t xml:space="preserve">Insight Sections</w:t>
            </w:r>
          </w:p>
          <w:p>
            <w:pPr>
              <w:jc w:val="center"/>
            </w:pPr>
            <w:r>
              <w:rPr>
                <w:color w:val="777777"/>
                <w:sz w:val="18"/>
                <w:szCs w:val="18"/>
              </w:rPr>
              <w:t xml:space="preserve">covered below</w:t>
            </w:r>
          </w:p>
        </w:tc>
        <w:tc>
          <w:tcPr>
            <w:shd w:fill="D6E4F0" w:val="clear"/>
            <w:tcMar>
              <w:top w:type="dxa" w:w="144"/>
              <w:left w:type="dxa" w:w="172"/>
              <w:bottom w:type="dxa" w:w="144"/>
              <w:right w:type="dxa" w:w="172"/>
            </w:tcMar>
            <w:vAlign w:val="center"/>
          </w:tcPr>
          <w:p>
            <w:pPr>
              <w:jc w:val="center"/>
            </w:pPr>
            <w:r>
              <w:rPr>
                <w:b/>
                <w:bCs/>
                <w:color w:val="2E6DA4"/>
                <w:sz w:val="44"/>
                <w:szCs w:val="44"/>
              </w:rPr>
              <w:t xml:space="preserve">6,600+</w:t>
            </w:r>
          </w:p>
          <w:p>
            <w:pPr>
              <w:jc w:val="center"/>
            </w:pPr>
            <w:r>
              <w:rPr>
                <w:b/>
                <w:bCs/>
                <w:color w:val="1E3A5F"/>
                <w:sz w:val="20"/>
                <w:szCs w:val="20"/>
              </w:rPr>
              <w:t xml:space="preserve">Tickers Tracked</w:t>
            </w:r>
          </w:p>
          <w:p>
            <w:pPr>
              <w:jc w:val="center"/>
            </w:pPr>
            <w:r>
              <w:rPr>
                <w:color w:val="777777"/>
                <w:sz w:val="18"/>
                <w:szCs w:val="18"/>
              </w:rPr>
              <w:t xml:space="preserve">US equities</w:t>
            </w:r>
          </w:p>
        </w:tc>
      </w:tr>
    </w:tbl>
    <w:p>
      <w:pPr>
        <w:spacing w:after="0" w:before="16"/>
      </w:pPr>
    </w:p>
    <w:p>
      <w:r>
        <w:br w:type="page"/>
      </w:r>
    </w:p>
    <w:p>
      <w:pPr>
        <w:pStyle w:val="Heading1"/>
        <w:pBdr>
          <w:bottom w:val="single" w:color="C8A951" w:sz="6" w:space="4"/>
        </w:pBdr>
        <w:spacing w:after="16" w:before="36"/>
        <w:rPr>
          <w:b/>
          <w:bCs/>
          <w:color w:val="1E3A5F"/>
          <w:sz w:val="40"/>
          <w:szCs w:val="40"/>
        </w:rPr>
      </w:pPr>
      <w:r>
        <w:t xml:space="preserve">0.  How to Read This Document</w:t>
      </w:r>
    </w:p>
    <w:p>
      <w:pPr>
        <w:spacing w:after="8" w:before="8"/>
        <w:jc w:val="both"/>
      </w:pPr>
      <w:r>
        <w:rPr>
          <w:color w:val="1A1A2E"/>
          <w:sz w:val="22"/>
          <w:szCs w:val="22"/>
        </w:rPr>
        <w:t xml:space="preserve">Each section below maps to one Power BI page or one analytics theme. For every insight you will find:</w:t>
      </w:r>
    </w:p>
    <w:p>
      <w:pPr>
        <w:pStyle w:val="ListParagraph"/>
        <w:numPr>
          <w:ilvl w:val="0"/>
          <w:numId w:val="1"/>
        </w:numPr>
        <w:spacing w:after="4" w:before="4"/>
      </w:pPr>
      <w:r>
        <w:rPr>
          <w:color w:val="1A1A2E"/>
          <w:sz w:val="22"/>
          <w:szCs w:val="22"/>
        </w:rPr>
        <w:t xml:space="preserve">What the visual shows — the chart or KPI card type and the data it binds to.</w:t>
      </w:r>
    </w:p>
    <w:p>
      <w:pPr>
        <w:pStyle w:val="ListParagraph"/>
        <w:numPr>
          <w:ilvl w:val="0"/>
          <w:numId w:val="1"/>
        </w:numPr>
        <w:spacing w:after="4" w:before="4"/>
      </w:pPr>
      <w:r>
        <w:rPr>
          <w:color w:val="1A1A2E"/>
          <w:sz w:val="22"/>
          <w:szCs w:val="22"/>
        </w:rPr>
        <w:t xml:space="preserve">What the insight tells you — the business question it answers.</w:t>
      </w:r>
    </w:p>
    <w:p>
      <w:pPr>
        <w:pStyle w:val="ListParagraph"/>
        <w:numPr>
          <w:ilvl w:val="0"/>
          <w:numId w:val="1"/>
        </w:numPr>
        <w:spacing w:after="4" w:before="4"/>
      </w:pPr>
      <w:r>
        <w:rPr>
          <w:color w:val="1A1A2E"/>
          <w:sz w:val="22"/>
          <w:szCs w:val="22"/>
        </w:rPr>
        <w:t xml:space="preserve">Why it matters — the decision it enables.</w:t>
      </w:r>
    </w:p>
    <w:p>
      <w:pPr>
        <w:pStyle w:val="ListParagraph"/>
        <w:numPr>
          <w:ilvl w:val="0"/>
          <w:numId w:val="1"/>
        </w:numPr>
        <w:spacing w:after="4" w:before="4"/>
      </w:pPr>
      <w:r>
        <w:rPr>
          <w:color w:val="1A1A2E"/>
          <w:sz w:val="22"/>
          <w:szCs w:val="22"/>
        </w:rPr>
        <w:t xml:space="preserve">Business recommendation — a concrete action derived from the pattern.</w:t>
      </w:r>
    </w:p>
    <w:p>
      <w:pPr>
        <w:spacing w:after="0" w:before="8"/>
      </w:pPr>
    </w:p>
    <w:p>
      <w:pPr>
        <w:spacing w:after="8" w:before="8"/>
        <w:jc w:val="both"/>
      </w:pPr>
      <w:r>
        <w:rPr>
          <w:color w:val="1A1A2E"/>
          <w:sz w:val="22"/>
          <w:szCs w:val="22"/>
        </w:rPr>
        <w:t xml:space="preserve">The PostgreSQL database (stocks_analytics) is the single source of truth. All tables are created by analytics_job.py (Apache Spark + SparkSQL) reading Parquet files from MinIO. The dashboard reads these tables via the Npgsql JDBC connector.</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Data Freshness Note</w:t>
            </w:r>
          </w:p>
          <w:p>
            <w:pPr>
              <w:spacing w:after="8" w:before="8"/>
              <w:jc w:val="both"/>
            </w:pPr>
            <w:r>
              <w:rPr>
                <w:i/>
                <w:iCs/>
                <w:color w:val="1A1A2E"/>
                <w:sz w:val="22"/>
                <w:szCs w:val="22"/>
              </w:rPr>
              <w:t xml:space="preserve">The pipeline is near-real-time. The Spark streaming job ingests Kafka events every 30 seconds. The analytics batch job (analytics_job.py) is run on demand and rewrites all 10 tables. Power BI's scheduled refresh should be set to match the analytics job frequency — recommended: every 4 hours during market hours, once overnight.</w:t>
            </w:r>
          </w:p>
        </w:tc>
      </w:tr>
    </w:tbl>
    <w:p>
      <w:pPr>
        <w:spacing w:after="0" w:before="12"/>
      </w:pPr>
    </w:p>
    <w:p>
      <w:r>
        <w:br w:type="page"/>
      </w:r>
    </w:p>
    <w:p>
      <w:pPr>
        <w:pStyle w:val="Heading1"/>
        <w:pBdr>
          <w:bottom w:val="single" w:color="C8A951" w:sz="6" w:space="4"/>
        </w:pBdr>
        <w:spacing w:after="16" w:before="36"/>
        <w:rPr>
          <w:b/>
          <w:bCs/>
          <w:color w:val="1E3A5F"/>
          <w:sz w:val="40"/>
          <w:szCs w:val="40"/>
        </w:rPr>
      </w:pPr>
      <w:r>
        <w:t xml:space="preserve">1.  Star Schema &amp; Data Model</w:t>
      </w:r>
    </w:p>
    <w:p>
      <w:pPr>
        <w:spacing w:after="8" w:before="8"/>
        <w:jc w:val="both"/>
      </w:pPr>
      <w:r>
        <w:rPr>
          <w:color w:val="1A1A2E"/>
          <w:sz w:val="22"/>
          <w:szCs w:val="22"/>
        </w:rPr>
        <w:t xml:space="preserve">Before any visual is built, the PostgreSQL analytics tables must be shaped into a star schema inside Power BI's data model. This is the single most important step — incorrect relationships produce silently wrong numbers.</w:t>
      </w:r>
    </w:p>
    <w:p>
      <w:pPr>
        <w:spacing w:after="0" w:before="8"/>
      </w:pPr>
    </w:p>
    <w:p>
      <w:pPr>
        <w:pStyle w:val="Heading2"/>
        <w:spacing w:after="12" w:before="28"/>
        <w:rPr>
          <w:b/>
          <w:bCs/>
          <w:color w:val="2E6DA4"/>
          <w:sz w:val="32"/>
          <w:szCs w:val="32"/>
        </w:rPr>
      </w:pPr>
      <w:r>
        <w:t xml:space="preserve">1.1  Fact Table — fact_daily_prices</w:t>
      </w:r>
    </w:p>
    <w:p>
      <w:pPr>
        <w:spacing w:after="8" w:before="8"/>
        <w:jc w:val="both"/>
      </w:pPr>
      <w:r>
        <w:rPr>
          <w:color w:val="1A1A2E"/>
          <w:sz w:val="22"/>
          <w:szCs w:val="22"/>
        </w:rPr>
        <w:t xml:space="preserve">Build this table as a Power Query transformation on top of stock_summary and monthly_performance. One row per ticker per trading day. Key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shd w:fill="1E3A5F" w:val="clear"/>
            <w:vAlign w:val="center"/>
          </w:tcPr>
          <w:p>
            <w:pPr>
              <w:jc w:val="center"/>
            </w:pPr>
            <w:r>
              <w:rPr>
                <w:b/>
                <w:bCs/>
                <w:color w:val="FFFFFF"/>
                <w:sz w:val="20"/>
                <w:szCs w:val="20"/>
              </w:rPr>
              <w:t xml:space="preserve">Column</w:t>
            </w:r>
          </w:p>
        </w:tc>
        <w:tc>
          <w:tcPr>
            <w:shd w:fill="1E3A5F" w:val="clear"/>
            <w:vAlign w:val="center"/>
          </w:tcPr>
          <w:p>
            <w:pPr>
              <w:jc w:val="center"/>
            </w:pPr>
            <w:r>
              <w:rPr>
                <w:b/>
                <w:bCs/>
                <w:color w:val="FFFFFF"/>
                <w:sz w:val="20"/>
                <w:szCs w:val="20"/>
              </w:rPr>
              <w:t xml:space="preserve">Source Table</w:t>
            </w:r>
          </w:p>
        </w:tc>
        <w:tc>
          <w:tcPr>
            <w:shd w:fill="1E3A5F" w:val="clear"/>
            <w:vAlign w:val="center"/>
          </w:tcPr>
          <w:p>
            <w:pPr>
              <w:jc w:val="center"/>
            </w:pPr>
            <w:r>
              <w:rPr>
                <w:b/>
                <w:bCs/>
                <w:color w:val="FFFFFF"/>
                <w:sz w:val="20"/>
                <w:szCs w:val="20"/>
              </w:rPr>
              <w:t xml:space="preserve">Type</w:t>
            </w:r>
          </w:p>
        </w:tc>
        <w:tc>
          <w:tcPr>
            <w:shd w:fill="1E3A5F" w:val="clear"/>
            <w:vAlign w:val="center"/>
          </w:tcPr>
          <w:p>
            <w:pPr>
              <w:jc w:val="center"/>
            </w:pPr>
            <w:r>
              <w:rPr>
                <w:b/>
                <w:bCs/>
                <w:color w:val="FFFFFF"/>
                <w:sz w:val="20"/>
                <w:szCs w:val="20"/>
              </w:rPr>
              <w:t xml:space="preserve">Purpose</w:t>
            </w:r>
          </w:p>
        </w:tc>
      </w:tr>
      <w:tr>
        <w:tc>
          <w:tcPr>
            <w:shd w:fill="FFFFFF" w:val="clear"/>
          </w:tcPr>
          <w:p>
            <w:pPr>
              <w:jc w:val="left"/>
            </w:pPr>
            <w:r>
              <w:rPr>
                <w:color w:val="1A1A2E"/>
                <w:sz w:val="20"/>
                <w:szCs w:val="20"/>
              </w:rPr>
              <w:t xml:space="preserve">date_key</w:t>
            </w:r>
          </w:p>
        </w:tc>
        <w:tc>
          <w:tcPr>
            <w:shd w:fill="FFFFFF" w:val="clear"/>
          </w:tcPr>
          <w:p>
            <w:pPr>
              <w:jc w:val="center"/>
            </w:pPr>
            <w:r>
              <w:rPr>
                <w:color w:val="1A1A2E"/>
                <w:sz w:val="20"/>
                <w:szCs w:val="20"/>
              </w:rPr>
              <w:t xml:space="preserve">monthly_performance.year, month</w:t>
            </w:r>
          </w:p>
        </w:tc>
        <w:tc>
          <w:tcPr>
            <w:shd w:fill="FFFFFF" w:val="clear"/>
          </w:tcPr>
          <w:p>
            <w:pPr>
              <w:jc w:val="center"/>
            </w:pPr>
            <w:r>
              <w:rPr>
                <w:color w:val="1A1A2E"/>
                <w:sz w:val="20"/>
                <w:szCs w:val="20"/>
              </w:rPr>
              <w:t xml:space="preserve">Integer YYYYMMDD</w:t>
            </w:r>
          </w:p>
        </w:tc>
        <w:tc>
          <w:tcPr>
            <w:shd w:fill="FFFFFF" w:val="clear"/>
          </w:tcPr>
          <w:p>
            <w:pPr>
              <w:jc w:val="center"/>
            </w:pPr>
            <w:r>
              <w:rPr>
                <w:color w:val="1A1A2E"/>
                <w:sz w:val="20"/>
                <w:szCs w:val="20"/>
              </w:rPr>
              <w:t xml:space="preserve">Join to dim_date</w:t>
            </w:r>
          </w:p>
        </w:tc>
      </w:tr>
      <w:tr>
        <w:tc>
          <w:tcPr>
            <w:shd w:fill="F4F6F9" w:val="clear"/>
          </w:tcPr>
          <w:p>
            <w:pPr>
              <w:jc w:val="left"/>
            </w:pPr>
            <w:r>
              <w:rPr>
                <w:color w:val="1A1A2E"/>
                <w:sz w:val="20"/>
                <w:szCs w:val="20"/>
              </w:rPr>
              <w:t xml:space="preserve">ticker_key</w:t>
            </w:r>
          </w:p>
        </w:tc>
        <w:tc>
          <w:tcPr>
            <w:shd w:fill="F4F6F9" w:val="clear"/>
          </w:tcPr>
          <w:p>
            <w:pPr>
              <w:jc w:val="center"/>
            </w:pPr>
            <w:r>
              <w:rPr>
                <w:color w:val="1A1A2E"/>
                <w:sz w:val="20"/>
                <w:szCs w:val="20"/>
              </w:rPr>
              <w:t xml:space="preserve">stock_summary.ticker</w:t>
            </w:r>
          </w:p>
        </w:tc>
        <w:tc>
          <w:tcPr>
            <w:shd w:fill="F4F6F9" w:val="clear"/>
          </w:tcPr>
          <w:p>
            <w:pPr>
              <w:jc w:val="center"/>
            </w:pPr>
            <w:r>
              <w:rPr>
                <w:color w:val="1A1A2E"/>
                <w:sz w:val="20"/>
                <w:szCs w:val="20"/>
              </w:rPr>
              <w:t xml:space="preserve">Text</w:t>
            </w:r>
          </w:p>
        </w:tc>
        <w:tc>
          <w:tcPr>
            <w:shd w:fill="F4F6F9" w:val="clear"/>
          </w:tcPr>
          <w:p>
            <w:pPr>
              <w:jc w:val="center"/>
            </w:pPr>
            <w:r>
              <w:rPr>
                <w:color w:val="1A1A2E"/>
                <w:sz w:val="20"/>
                <w:szCs w:val="20"/>
              </w:rPr>
              <w:t xml:space="preserve">Join to dim_ticker</w:t>
            </w:r>
          </w:p>
        </w:tc>
      </w:tr>
      <w:tr>
        <w:tc>
          <w:tcPr>
            <w:shd w:fill="FFFFFF" w:val="clear"/>
          </w:tcPr>
          <w:p>
            <w:pPr>
              <w:jc w:val="left"/>
            </w:pPr>
            <w:r>
              <w:rPr>
                <w:color w:val="1A1A2E"/>
                <w:sz w:val="20"/>
                <w:szCs w:val="20"/>
              </w:rPr>
              <w:t xml:space="preserve">close</w:t>
            </w:r>
          </w:p>
        </w:tc>
        <w:tc>
          <w:tcPr>
            <w:shd w:fill="FFFFFF" w:val="clear"/>
          </w:tcPr>
          <w:p>
            <w:pPr>
              <w:jc w:val="center"/>
            </w:pPr>
            <w:r>
              <w:rPr>
                <w:color w:val="1A1A2E"/>
                <w:sz w:val="20"/>
                <w:szCs w:val="20"/>
              </w:rPr>
              <w:t xml:space="preserve">stock_summary.last_close</w:t>
            </w:r>
          </w:p>
        </w:tc>
        <w:tc>
          <w:tcPr>
            <w:shd w:fill="FFFFFF" w:val="clear"/>
          </w:tcPr>
          <w:p>
            <w:pPr>
              <w:jc w:val="center"/>
            </w:pPr>
            <w:r>
              <w:rPr>
                <w:color w:val="1A1A2E"/>
                <w:sz w:val="20"/>
                <w:szCs w:val="20"/>
              </w:rPr>
              <w:t xml:space="preserve">Decimal</w:t>
            </w:r>
          </w:p>
        </w:tc>
        <w:tc>
          <w:tcPr>
            <w:shd w:fill="FFFFFF" w:val="clear"/>
          </w:tcPr>
          <w:p>
            <w:pPr>
              <w:jc w:val="center"/>
            </w:pPr>
            <w:r>
              <w:rPr>
                <w:color w:val="1A1A2E"/>
                <w:sz w:val="20"/>
                <w:szCs w:val="20"/>
              </w:rPr>
              <w:t xml:space="preserve">Price for return calc</w:t>
            </w:r>
          </w:p>
        </w:tc>
      </w:tr>
      <w:tr>
        <w:tc>
          <w:tcPr>
            <w:shd w:fill="F4F6F9" w:val="clear"/>
          </w:tcPr>
          <w:p>
            <w:pPr>
              <w:jc w:val="left"/>
            </w:pPr>
            <w:r>
              <w:rPr>
                <w:color w:val="1A1A2E"/>
                <w:sz w:val="20"/>
                <w:szCs w:val="20"/>
              </w:rPr>
              <w:t xml:space="preserve">open</w:t>
            </w:r>
          </w:p>
        </w:tc>
        <w:tc>
          <w:tcPr>
            <w:shd w:fill="F4F6F9" w:val="clear"/>
          </w:tcPr>
          <w:p>
            <w:pPr>
              <w:jc w:val="center"/>
            </w:pPr>
            <w:r>
              <w:rPr>
                <w:color w:val="1A1A2E"/>
                <w:sz w:val="20"/>
                <w:szCs w:val="20"/>
              </w:rPr>
              <w:t xml:space="preserve">stock_summary.avg_open (approx)</w:t>
            </w:r>
          </w:p>
        </w:tc>
        <w:tc>
          <w:tcPr>
            <w:shd w:fill="F4F6F9" w:val="clear"/>
          </w:tcPr>
          <w:p>
            <w:pPr>
              <w:jc w:val="center"/>
            </w:pPr>
            <w:r>
              <w:rPr>
                <w:color w:val="1A1A2E"/>
                <w:sz w:val="20"/>
                <w:szCs w:val="20"/>
              </w:rPr>
              <w:t xml:space="preserve">Decimal</w:t>
            </w:r>
          </w:p>
        </w:tc>
        <w:tc>
          <w:tcPr>
            <w:shd w:fill="F4F6F9" w:val="clear"/>
          </w:tcPr>
          <w:p>
            <w:pPr>
              <w:jc w:val="center"/>
            </w:pPr>
            <w:r>
              <w:rPr>
                <w:color w:val="1A1A2E"/>
                <w:sz w:val="20"/>
                <w:szCs w:val="20"/>
              </w:rPr>
              <w:t xml:space="preserve">Daily open</w:t>
            </w:r>
          </w:p>
        </w:tc>
      </w:tr>
      <w:tr>
        <w:tc>
          <w:tcPr>
            <w:shd w:fill="FFFFFF" w:val="clear"/>
          </w:tcPr>
          <w:p>
            <w:pPr>
              <w:jc w:val="left"/>
            </w:pPr>
            <w:r>
              <w:rPr>
                <w:color w:val="1A1A2E"/>
                <w:sz w:val="20"/>
                <w:szCs w:val="20"/>
              </w:rPr>
              <w:t xml:space="preserve">high</w:t>
            </w:r>
          </w:p>
        </w:tc>
        <w:tc>
          <w:tcPr>
            <w:shd w:fill="FFFFFF" w:val="clear"/>
          </w:tcPr>
          <w:p>
            <w:pPr>
              <w:jc w:val="center"/>
            </w:pPr>
            <w:r>
              <w:rPr>
                <w:color w:val="1A1A2E"/>
                <w:sz w:val="20"/>
                <w:szCs w:val="20"/>
              </w:rPr>
              <w:t xml:space="preserve">price_volatility.all_time_high (monthly)</w:t>
            </w:r>
          </w:p>
        </w:tc>
        <w:tc>
          <w:tcPr>
            <w:shd w:fill="FFFFFF" w:val="clear"/>
          </w:tcPr>
          <w:p>
            <w:pPr>
              <w:jc w:val="center"/>
            </w:pPr>
            <w:r>
              <w:rPr>
                <w:color w:val="1A1A2E"/>
                <w:sz w:val="20"/>
                <w:szCs w:val="20"/>
              </w:rPr>
              <w:t xml:space="preserve">Decimal</w:t>
            </w:r>
          </w:p>
        </w:tc>
        <w:tc>
          <w:tcPr>
            <w:shd w:fill="FFFFFF" w:val="clear"/>
          </w:tcPr>
          <w:p>
            <w:pPr>
              <w:jc w:val="center"/>
            </w:pPr>
            <w:r>
              <w:rPr>
                <w:color w:val="1A1A2E"/>
                <w:sz w:val="20"/>
                <w:szCs w:val="20"/>
              </w:rPr>
              <w:t xml:space="preserve">Session high</w:t>
            </w:r>
          </w:p>
        </w:tc>
      </w:tr>
      <w:tr>
        <w:tc>
          <w:tcPr>
            <w:shd w:fill="F4F6F9" w:val="clear"/>
          </w:tcPr>
          <w:p>
            <w:pPr>
              <w:jc w:val="left"/>
            </w:pPr>
            <w:r>
              <w:rPr>
                <w:color w:val="1A1A2E"/>
                <w:sz w:val="20"/>
                <w:szCs w:val="20"/>
              </w:rPr>
              <w:t xml:space="preserve">low</w:t>
            </w:r>
          </w:p>
        </w:tc>
        <w:tc>
          <w:tcPr>
            <w:shd w:fill="F4F6F9" w:val="clear"/>
          </w:tcPr>
          <w:p>
            <w:pPr>
              <w:jc w:val="center"/>
            </w:pPr>
            <w:r>
              <w:rPr>
                <w:color w:val="1A1A2E"/>
                <w:sz w:val="20"/>
                <w:szCs w:val="20"/>
              </w:rPr>
              <w:t xml:space="preserve">price_volatility.all_time_low (monthly)</w:t>
            </w:r>
          </w:p>
        </w:tc>
        <w:tc>
          <w:tcPr>
            <w:shd w:fill="F4F6F9" w:val="clear"/>
          </w:tcPr>
          <w:p>
            <w:pPr>
              <w:jc w:val="center"/>
            </w:pPr>
            <w:r>
              <w:rPr>
                <w:color w:val="1A1A2E"/>
                <w:sz w:val="20"/>
                <w:szCs w:val="20"/>
              </w:rPr>
              <w:t xml:space="preserve">Decimal</w:t>
            </w:r>
          </w:p>
        </w:tc>
        <w:tc>
          <w:tcPr>
            <w:shd w:fill="F4F6F9" w:val="clear"/>
          </w:tcPr>
          <w:p>
            <w:pPr>
              <w:jc w:val="center"/>
            </w:pPr>
            <w:r>
              <w:rPr>
                <w:color w:val="1A1A2E"/>
                <w:sz w:val="20"/>
                <w:szCs w:val="20"/>
              </w:rPr>
              <w:t xml:space="preserve">Session low</w:t>
            </w:r>
          </w:p>
        </w:tc>
      </w:tr>
      <w:tr>
        <w:tc>
          <w:tcPr>
            <w:shd w:fill="FFFFFF" w:val="clear"/>
          </w:tcPr>
          <w:p>
            <w:pPr>
              <w:jc w:val="left"/>
            </w:pPr>
            <w:r>
              <w:rPr>
                <w:color w:val="1A1A2E"/>
                <w:sz w:val="20"/>
                <w:szCs w:val="20"/>
              </w:rPr>
              <w:t xml:space="preserve">volume</w:t>
            </w:r>
          </w:p>
        </w:tc>
        <w:tc>
          <w:tcPr>
            <w:shd w:fill="FFFFFF" w:val="clear"/>
          </w:tcPr>
          <w:p>
            <w:pPr>
              <w:jc w:val="center"/>
            </w:pPr>
            <w:r>
              <w:rPr>
                <w:color w:val="1A1A2E"/>
                <w:sz w:val="20"/>
                <w:szCs w:val="20"/>
              </w:rPr>
              <w:t xml:space="preserve">volume_leaders.avg_daily_volume</w:t>
            </w:r>
          </w:p>
        </w:tc>
        <w:tc>
          <w:tcPr>
            <w:shd w:fill="FFFFFF" w:val="clear"/>
          </w:tcPr>
          <w:p>
            <w:pPr>
              <w:jc w:val="center"/>
            </w:pPr>
            <w:r>
              <w:rPr>
                <w:color w:val="1A1A2E"/>
                <w:sz w:val="20"/>
                <w:szCs w:val="20"/>
              </w:rPr>
              <w:t xml:space="preserve">Integer</w:t>
            </w:r>
          </w:p>
        </w:tc>
        <w:tc>
          <w:tcPr>
            <w:shd w:fill="FFFFFF" w:val="clear"/>
          </w:tcPr>
          <w:p>
            <w:pPr>
              <w:jc w:val="center"/>
            </w:pPr>
            <w:r>
              <w:rPr>
                <w:color w:val="1A1A2E"/>
                <w:sz w:val="20"/>
                <w:szCs w:val="20"/>
              </w:rPr>
              <w:t xml:space="preserve">Liquidity measure</w:t>
            </w:r>
          </w:p>
        </w:tc>
      </w:tr>
      <w:tr>
        <w:tc>
          <w:tcPr>
            <w:shd w:fill="F4F6F9" w:val="clear"/>
          </w:tcPr>
          <w:p>
            <w:pPr>
              <w:jc w:val="left"/>
            </w:pPr>
            <w:r>
              <w:rPr>
                <w:color w:val="1A1A2E"/>
                <w:sz w:val="20"/>
                <w:szCs w:val="20"/>
              </w:rPr>
              <w:t xml:space="preserve">return_1d</w:t>
            </w:r>
          </w:p>
        </w:tc>
        <w:tc>
          <w:tcPr>
            <w:shd w:fill="F4F6F9" w:val="clear"/>
          </w:tcPr>
          <w:p>
            <w:pPr>
              <w:jc w:val="center"/>
            </w:pPr>
            <w:r>
              <w:rPr>
                <w:color w:val="1A1A2E"/>
                <w:sz w:val="20"/>
                <w:szCs w:val="20"/>
              </w:rPr>
              <w:t xml:space="preserve">Calculated: (close-open)/open</w:t>
            </w:r>
          </w:p>
        </w:tc>
        <w:tc>
          <w:tcPr>
            <w:shd w:fill="F4F6F9" w:val="clear"/>
          </w:tcPr>
          <w:p>
            <w:pPr>
              <w:jc w:val="center"/>
            </w:pPr>
            <w:r>
              <w:rPr>
                <w:color w:val="1A1A2E"/>
                <w:sz w:val="20"/>
                <w:szCs w:val="20"/>
              </w:rPr>
              <w:t xml:space="preserve">Decimal</w:t>
            </w:r>
          </w:p>
        </w:tc>
        <w:tc>
          <w:tcPr>
            <w:shd w:fill="F4F6F9" w:val="clear"/>
          </w:tcPr>
          <w:p>
            <w:pPr>
              <w:jc w:val="center"/>
            </w:pPr>
            <w:r>
              <w:rPr>
                <w:color w:val="1A1A2E"/>
                <w:sz w:val="20"/>
                <w:szCs w:val="20"/>
              </w:rPr>
              <w:t xml:space="preserve">Daily return</w:t>
            </w:r>
          </w:p>
        </w:tc>
      </w:tr>
    </w:tbl>
    <w:p>
      <w:pPr>
        <w:spacing w:after="0" w:before="12"/>
      </w:pPr>
    </w:p>
    <w:p>
      <w:pPr>
        <w:pStyle w:val="Heading2"/>
        <w:spacing w:after="12" w:before="28"/>
        <w:rPr>
          <w:b/>
          <w:bCs/>
          <w:color w:val="2E6DA4"/>
          <w:sz w:val="32"/>
          <w:szCs w:val="32"/>
        </w:rPr>
      </w:pPr>
      <w:r>
        <w:t xml:space="preserve">1.2  Dimension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shd w:fill="1E3A5F" w:val="clear"/>
            <w:vAlign w:val="center"/>
          </w:tcPr>
          <w:p>
            <w:pPr>
              <w:jc w:val="center"/>
            </w:pPr>
            <w:r>
              <w:rPr>
                <w:b/>
                <w:bCs/>
                <w:color w:val="FFFFFF"/>
                <w:sz w:val="20"/>
                <w:szCs w:val="20"/>
              </w:rPr>
              <w:t xml:space="preserve">Dimension</w:t>
            </w:r>
          </w:p>
        </w:tc>
        <w:tc>
          <w:tcPr>
            <w:shd w:fill="1E3A5F" w:val="clear"/>
            <w:vAlign w:val="center"/>
          </w:tcPr>
          <w:p>
            <w:pPr>
              <w:jc w:val="center"/>
            </w:pPr>
            <w:r>
              <w:rPr>
                <w:b/>
                <w:bCs/>
                <w:color w:val="FFFFFF"/>
                <w:sz w:val="20"/>
                <w:szCs w:val="20"/>
              </w:rPr>
              <w:t xml:space="preserve">Source</w:t>
            </w:r>
          </w:p>
        </w:tc>
        <w:tc>
          <w:tcPr>
            <w:shd w:fill="1E3A5F" w:val="clear"/>
            <w:vAlign w:val="center"/>
          </w:tcPr>
          <w:p>
            <w:pPr>
              <w:jc w:val="center"/>
            </w:pPr>
            <w:r>
              <w:rPr>
                <w:b/>
                <w:bCs/>
                <w:color w:val="FFFFFF"/>
                <w:sz w:val="20"/>
                <w:szCs w:val="20"/>
              </w:rPr>
              <w:t xml:space="preserve">Key Columns</w:t>
            </w:r>
          </w:p>
        </w:tc>
        <w:tc>
          <w:tcPr>
            <w:shd w:fill="1E3A5F" w:val="clear"/>
            <w:vAlign w:val="center"/>
          </w:tcPr>
          <w:p>
            <w:pPr>
              <w:jc w:val="center"/>
            </w:pPr>
            <w:r>
              <w:rPr>
                <w:b/>
                <w:bCs/>
                <w:color w:val="FFFFFF"/>
                <w:sz w:val="20"/>
                <w:szCs w:val="20"/>
              </w:rPr>
              <w:t xml:space="preserve">Mark as Date Table?</w:t>
            </w:r>
          </w:p>
        </w:tc>
      </w:tr>
      <w:tr>
        <w:tc>
          <w:tcPr>
            <w:shd w:fill="FFFFFF" w:val="clear"/>
          </w:tcPr>
          <w:p>
            <w:pPr>
              <w:jc w:val="left"/>
            </w:pPr>
            <w:r>
              <w:rPr>
                <w:color w:val="1A1A2E"/>
                <w:sz w:val="20"/>
                <w:szCs w:val="20"/>
              </w:rPr>
              <w:t xml:space="preserve">dim_date</w:t>
            </w:r>
          </w:p>
        </w:tc>
        <w:tc>
          <w:tcPr>
            <w:shd w:fill="FFFFFF" w:val="clear"/>
          </w:tcPr>
          <w:p>
            <w:pPr>
              <w:jc w:val="center"/>
            </w:pPr>
            <w:r>
              <w:rPr>
                <w:color w:val="1A1A2E"/>
                <w:sz w:val="20"/>
                <w:szCs w:val="20"/>
              </w:rPr>
              <w:t xml:space="preserve">Generated in Power Query</w:t>
            </w:r>
          </w:p>
        </w:tc>
        <w:tc>
          <w:tcPr>
            <w:shd w:fill="FFFFFF" w:val="clear"/>
          </w:tcPr>
          <w:p>
            <w:pPr>
              <w:jc w:val="center"/>
            </w:pPr>
            <w:r>
              <w:rPr>
                <w:color w:val="1A1A2E"/>
                <w:sz w:val="20"/>
                <w:szCs w:val="20"/>
              </w:rPr>
              <w:t xml:space="preserve">date, year, month, quarter, weekday</w:t>
            </w:r>
          </w:p>
        </w:tc>
        <w:tc>
          <w:tcPr>
            <w:shd w:fill="FFFFFF" w:val="clear"/>
          </w:tcPr>
          <w:p>
            <w:pPr>
              <w:jc w:val="center"/>
            </w:pPr>
            <w:r>
              <w:rPr>
                <w:color w:val="1A1A2E"/>
                <w:sz w:val="20"/>
                <w:szCs w:val="20"/>
              </w:rPr>
              <w:t xml:space="preserve">YES — required for TOTALYTD</w:t>
            </w:r>
          </w:p>
        </w:tc>
      </w:tr>
      <w:tr>
        <w:tc>
          <w:tcPr>
            <w:shd w:fill="F4F6F9" w:val="clear"/>
          </w:tcPr>
          <w:p>
            <w:pPr>
              <w:jc w:val="left"/>
            </w:pPr>
            <w:r>
              <w:rPr>
                <w:color w:val="1A1A2E"/>
                <w:sz w:val="20"/>
                <w:szCs w:val="20"/>
              </w:rPr>
              <w:t xml:space="preserve">dim_ticker</w:t>
            </w:r>
          </w:p>
        </w:tc>
        <w:tc>
          <w:tcPr>
            <w:shd w:fill="F4F6F9" w:val="clear"/>
          </w:tcPr>
          <w:p>
            <w:pPr>
              <w:jc w:val="center"/>
            </w:pPr>
            <w:r>
              <w:rPr>
                <w:color w:val="1A1A2E"/>
                <w:sz w:val="20"/>
                <w:szCs w:val="20"/>
              </w:rPr>
              <w:t xml:space="preserve">stock_summary + top_performers</w:t>
            </w:r>
          </w:p>
        </w:tc>
        <w:tc>
          <w:tcPr>
            <w:shd w:fill="F4F6F9" w:val="clear"/>
          </w:tcPr>
          <w:p>
            <w:pPr>
              <w:jc w:val="center"/>
            </w:pPr>
            <w:r>
              <w:rPr>
                <w:color w:val="1A1A2E"/>
                <w:sz w:val="20"/>
                <w:szCs w:val="20"/>
              </w:rPr>
              <w:t xml:space="preserve">ticker, direction (GAINER/LOSER/FLAT)</w:t>
            </w:r>
          </w:p>
        </w:tc>
        <w:tc>
          <w:tcPr>
            <w:shd w:fill="F4F6F9" w:val="clear"/>
          </w:tcPr>
          <w:p>
            <w:pPr>
              <w:jc w:val="center"/>
            </w:pPr>
            <w:r>
              <w:rPr>
                <w:color w:val="1A1A2E"/>
                <w:sz w:val="20"/>
                <w:szCs w:val="20"/>
              </w:rPr>
              <w:t xml:space="preserve">No</w:t>
            </w:r>
          </w:p>
        </w:tc>
      </w:tr>
      <w:tr>
        <w:tc>
          <w:tcPr>
            <w:shd w:fill="FFFFFF" w:val="clear"/>
          </w:tcPr>
          <w:p>
            <w:pPr>
              <w:jc w:val="left"/>
            </w:pPr>
            <w:r>
              <w:rPr>
                <w:color w:val="1A1A2E"/>
                <w:sz w:val="20"/>
                <w:szCs w:val="20"/>
              </w:rPr>
              <w:t xml:space="preserve">dim_sector</w:t>
            </w:r>
          </w:p>
        </w:tc>
        <w:tc>
          <w:tcPr>
            <w:shd w:fill="FFFFFF" w:val="clear"/>
          </w:tcPr>
          <w:p>
            <w:pPr>
              <w:jc w:val="center"/>
            </w:pPr>
            <w:r>
              <w:rPr>
                <w:color w:val="1A1A2E"/>
                <w:sz w:val="20"/>
                <w:szCs w:val="20"/>
              </w:rPr>
              <w:t xml:space="preserve">Optional external CSV</w:t>
            </w:r>
          </w:p>
        </w:tc>
        <w:tc>
          <w:tcPr>
            <w:shd w:fill="FFFFFF" w:val="clear"/>
          </w:tcPr>
          <w:p>
            <w:pPr>
              <w:jc w:val="center"/>
            </w:pPr>
            <w:r>
              <w:rPr>
                <w:color w:val="1A1A2E"/>
                <w:sz w:val="20"/>
                <w:szCs w:val="20"/>
              </w:rPr>
              <w:t xml:space="preserve">ticker, sector, industry</w:t>
            </w:r>
          </w:p>
        </w:tc>
        <w:tc>
          <w:tcPr>
            <w:shd w:fill="FFFFFF" w:val="clear"/>
          </w:tcPr>
          <w:p>
            <w:pPr>
              <w:jc w:val="center"/>
            </w:pPr>
            <w:r>
              <w:rPr>
                <w:color w:val="1A1A2E"/>
                <w:sz w:val="20"/>
                <w:szCs w:val="20"/>
              </w:rPr>
              <w:t xml:space="preserve">No</w:t>
            </w:r>
          </w:p>
        </w:tc>
      </w:tr>
    </w:tbl>
    <w:p>
      <w:pPr>
        <w:spacing w:after="0" w:before="12"/>
      </w:pPr>
    </w:p>
    <w:p>
      <w:pPr>
        <w:pStyle w:val="Heading2"/>
        <w:spacing w:after="12" w:before="28"/>
        <w:rPr>
          <w:b/>
          <w:bCs/>
          <w:color w:val="2E6DA4"/>
          <w:sz w:val="32"/>
          <w:szCs w:val="32"/>
        </w:rPr>
      </w:pPr>
      <w:r>
        <w:t xml:space="preserve">1.3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shd w:fill="1E3A5F" w:val="clear"/>
            <w:vAlign w:val="center"/>
          </w:tcPr>
          <w:p>
            <w:pPr>
              <w:jc w:val="center"/>
            </w:pPr>
            <w:r>
              <w:rPr>
                <w:b/>
                <w:bCs/>
                <w:color w:val="FFFFFF"/>
                <w:sz w:val="20"/>
                <w:szCs w:val="20"/>
              </w:rPr>
              <w:t xml:space="preserve">From (Many side)</w:t>
            </w:r>
          </w:p>
        </w:tc>
        <w:tc>
          <w:tcPr>
            <w:shd w:fill="1E3A5F" w:val="clear"/>
            <w:vAlign w:val="center"/>
          </w:tcPr>
          <w:p>
            <w:pPr>
              <w:jc w:val="center"/>
            </w:pPr>
            <w:r>
              <w:rPr>
                <w:b/>
                <w:bCs/>
                <w:color w:val="FFFFFF"/>
                <w:sz w:val="20"/>
                <w:szCs w:val="20"/>
              </w:rPr>
              <w:t xml:space="preserve">To (One side)</w:t>
            </w:r>
          </w:p>
        </w:tc>
        <w:tc>
          <w:tcPr>
            <w:shd w:fill="1E3A5F" w:val="clear"/>
            <w:vAlign w:val="center"/>
          </w:tcPr>
          <w:p>
            <w:pPr>
              <w:jc w:val="center"/>
            </w:pPr>
            <w:r>
              <w:rPr>
                <w:b/>
                <w:bCs/>
                <w:color w:val="FFFFFF"/>
                <w:sz w:val="20"/>
                <w:szCs w:val="20"/>
              </w:rPr>
              <w:t xml:space="preserve">Cardinality</w:t>
            </w:r>
          </w:p>
        </w:tc>
        <w:tc>
          <w:tcPr>
            <w:shd w:fill="1E3A5F" w:val="clear"/>
            <w:vAlign w:val="center"/>
          </w:tcPr>
          <w:p>
            <w:pPr>
              <w:jc w:val="center"/>
            </w:pPr>
            <w:r>
              <w:rPr>
                <w:b/>
                <w:bCs/>
                <w:color w:val="FFFFFF"/>
                <w:sz w:val="20"/>
                <w:szCs w:val="20"/>
              </w:rPr>
              <w:t xml:space="preserve">Cross-filter</w:t>
            </w:r>
          </w:p>
        </w:tc>
      </w:tr>
      <w:tr>
        <w:tc>
          <w:tcPr>
            <w:shd w:fill="FFFFFF" w:val="clear"/>
          </w:tcPr>
          <w:p>
            <w:pPr>
              <w:jc w:val="left"/>
            </w:pPr>
            <w:r>
              <w:rPr>
                <w:color w:val="1A1A2E"/>
                <w:sz w:val="20"/>
                <w:szCs w:val="20"/>
              </w:rPr>
              <w:t xml:space="preserve">fact_daily_prices[date_key]</w:t>
            </w:r>
          </w:p>
        </w:tc>
        <w:tc>
          <w:tcPr>
            <w:shd w:fill="FFFFFF" w:val="clear"/>
          </w:tcPr>
          <w:p>
            <w:pPr>
              <w:jc w:val="center"/>
            </w:pPr>
            <w:r>
              <w:rPr>
                <w:color w:val="1A1A2E"/>
                <w:sz w:val="20"/>
                <w:szCs w:val="20"/>
              </w:rPr>
              <w:t xml:space="preserve">dim_date[date_key]</w:t>
            </w:r>
          </w:p>
        </w:tc>
        <w:tc>
          <w:tcPr>
            <w:shd w:fill="FFFFFF" w:val="clear"/>
          </w:tcPr>
          <w:p>
            <w:pPr>
              <w:jc w:val="center"/>
            </w:pPr>
            <w:r>
              <w:rPr>
                <w:color w:val="1A1A2E"/>
                <w:sz w:val="20"/>
                <w:szCs w:val="20"/>
              </w:rPr>
              <w:t xml:space="preserve">Many-to-One</w:t>
            </w:r>
          </w:p>
        </w:tc>
        <w:tc>
          <w:tcPr>
            <w:shd w:fill="FFFFFF" w:val="clear"/>
          </w:tcPr>
          <w:p>
            <w:pPr>
              <w:jc w:val="center"/>
            </w:pPr>
            <w:r>
              <w:rPr>
                <w:color w:val="1A1A2E"/>
                <w:sz w:val="20"/>
                <w:szCs w:val="20"/>
              </w:rPr>
              <w:t xml:space="preserve">Single</w:t>
            </w:r>
          </w:p>
        </w:tc>
      </w:tr>
      <w:tr>
        <w:tc>
          <w:tcPr>
            <w:shd w:fill="F4F6F9" w:val="clear"/>
          </w:tcPr>
          <w:p>
            <w:pPr>
              <w:jc w:val="left"/>
            </w:pPr>
            <w:r>
              <w:rPr>
                <w:color w:val="1A1A2E"/>
                <w:sz w:val="20"/>
                <w:szCs w:val="20"/>
              </w:rPr>
              <w:t xml:space="preserve">fact_daily_prices[ticker_key]</w:t>
            </w:r>
          </w:p>
        </w:tc>
        <w:tc>
          <w:tcPr>
            <w:shd w:fill="F4F6F9" w:val="clear"/>
          </w:tcPr>
          <w:p>
            <w:pPr>
              <w:jc w:val="center"/>
            </w:pPr>
            <w:r>
              <w:rPr>
                <w:color w:val="1A1A2E"/>
                <w:sz w:val="20"/>
                <w:szCs w:val="20"/>
              </w:rPr>
              <w:t xml:space="preserve">dim_ticker[ticker_key]</w:t>
            </w:r>
          </w:p>
        </w:tc>
        <w:tc>
          <w:tcPr>
            <w:shd w:fill="F4F6F9" w:val="clear"/>
          </w:tcPr>
          <w:p>
            <w:pPr>
              <w:jc w:val="center"/>
            </w:pPr>
            <w:r>
              <w:rPr>
                <w:color w:val="1A1A2E"/>
                <w:sz w:val="20"/>
                <w:szCs w:val="20"/>
              </w:rPr>
              <w:t xml:space="preserve">Many-to-One</w:t>
            </w:r>
          </w:p>
        </w:tc>
        <w:tc>
          <w:tcPr>
            <w:shd w:fill="F4F6F9" w:val="clear"/>
          </w:tcPr>
          <w:p>
            <w:pPr>
              <w:jc w:val="center"/>
            </w:pPr>
            <w:r>
              <w:rPr>
                <w:color w:val="1A1A2E"/>
                <w:sz w:val="20"/>
                <w:szCs w:val="20"/>
              </w:rPr>
              <w:t xml:space="preserve">Single</w:t>
            </w:r>
          </w:p>
        </w:tc>
      </w:tr>
      <w:tr>
        <w:tc>
          <w:tcPr>
            <w:shd w:fill="FFFFFF" w:val="clear"/>
          </w:tcPr>
          <w:p>
            <w:pPr>
              <w:jc w:val="left"/>
            </w:pPr>
            <w:r>
              <w:rPr>
                <w:color w:val="1A1A2E"/>
                <w:sz w:val="20"/>
                <w:szCs w:val="20"/>
              </w:rPr>
              <w:t xml:space="preserve">monthly_performance[ticker]</w:t>
            </w:r>
          </w:p>
        </w:tc>
        <w:tc>
          <w:tcPr>
            <w:shd w:fill="FFFFFF" w:val="clear"/>
          </w:tcPr>
          <w:p>
            <w:pPr>
              <w:jc w:val="center"/>
            </w:pPr>
            <w:r>
              <w:rPr>
                <w:color w:val="1A1A2E"/>
                <w:sz w:val="20"/>
                <w:szCs w:val="20"/>
              </w:rPr>
              <w:t xml:space="preserve">dim_ticker[ticker]</w:t>
            </w:r>
          </w:p>
        </w:tc>
        <w:tc>
          <w:tcPr>
            <w:shd w:fill="FFFFFF" w:val="clear"/>
          </w:tcPr>
          <w:p>
            <w:pPr>
              <w:jc w:val="center"/>
            </w:pPr>
            <w:r>
              <w:rPr>
                <w:color w:val="1A1A2E"/>
                <w:sz w:val="20"/>
                <w:szCs w:val="20"/>
              </w:rPr>
              <w:t xml:space="preserve">Many-to-One</w:t>
            </w:r>
          </w:p>
        </w:tc>
        <w:tc>
          <w:tcPr>
            <w:shd w:fill="FFFFFF" w:val="clear"/>
          </w:tcPr>
          <w:p>
            <w:pPr>
              <w:jc w:val="center"/>
            </w:pPr>
            <w:r>
              <w:rPr>
                <w:color w:val="1A1A2E"/>
                <w:sz w:val="20"/>
                <w:szCs w:val="20"/>
              </w:rPr>
              <w:t xml:space="preserve">Single</w:t>
            </w:r>
          </w:p>
        </w:tc>
      </w:tr>
      <w:tr>
        <w:tc>
          <w:tcPr>
            <w:shd w:fill="F4F6F9" w:val="clear"/>
          </w:tcPr>
          <w:p>
            <w:pPr>
              <w:jc w:val="left"/>
            </w:pPr>
            <w:r>
              <w:rPr>
                <w:color w:val="1A1A2E"/>
                <w:sz w:val="20"/>
                <w:szCs w:val="20"/>
              </w:rPr>
              <w:t xml:space="preserve">stochastic_signals[ticker]</w:t>
            </w:r>
          </w:p>
        </w:tc>
        <w:tc>
          <w:tcPr>
            <w:shd w:fill="F4F6F9" w:val="clear"/>
          </w:tcPr>
          <w:p>
            <w:pPr>
              <w:jc w:val="center"/>
            </w:pPr>
            <w:r>
              <w:rPr>
                <w:color w:val="1A1A2E"/>
                <w:sz w:val="20"/>
                <w:szCs w:val="20"/>
              </w:rPr>
              <w:t xml:space="preserve">dim_ticker[ticker]</w:t>
            </w:r>
          </w:p>
        </w:tc>
        <w:tc>
          <w:tcPr>
            <w:shd w:fill="F4F6F9" w:val="clear"/>
          </w:tcPr>
          <w:p>
            <w:pPr>
              <w:jc w:val="center"/>
            </w:pPr>
            <w:r>
              <w:rPr>
                <w:color w:val="1A1A2E"/>
                <w:sz w:val="20"/>
                <w:szCs w:val="20"/>
              </w:rPr>
              <w:t xml:space="preserve">Many-to-One</w:t>
            </w:r>
          </w:p>
        </w:tc>
        <w:tc>
          <w:tcPr>
            <w:shd w:fill="F4F6F9" w:val="clear"/>
          </w:tcPr>
          <w:p>
            <w:pPr>
              <w:jc w:val="center"/>
            </w:pPr>
            <w:r>
              <w:rPr>
                <w:color w:val="1A1A2E"/>
                <w:sz w:val="20"/>
                <w:szCs w:val="20"/>
              </w:rPr>
              <w:t xml:space="preserve">Single</w:t>
            </w:r>
          </w:p>
        </w:tc>
      </w:tr>
      <w:tr>
        <w:tc>
          <w:tcPr>
            <w:shd w:fill="FFFFFF" w:val="clear"/>
          </w:tcPr>
          <w:p>
            <w:pPr>
              <w:jc w:val="left"/>
            </w:pPr>
            <w:r>
              <w:rPr>
                <w:color w:val="1A1A2E"/>
                <w:sz w:val="20"/>
                <w:szCs w:val="20"/>
              </w:rPr>
              <w:t xml:space="preserve">daily_market_breadth[date]</w:t>
            </w:r>
          </w:p>
        </w:tc>
        <w:tc>
          <w:tcPr>
            <w:shd w:fill="FFFFFF" w:val="clear"/>
          </w:tcPr>
          <w:p>
            <w:pPr>
              <w:jc w:val="center"/>
            </w:pPr>
            <w:r>
              <w:rPr>
                <w:color w:val="1A1A2E"/>
                <w:sz w:val="20"/>
                <w:szCs w:val="20"/>
              </w:rPr>
              <w:t xml:space="preserve">dim_date[date]</w:t>
            </w:r>
          </w:p>
        </w:tc>
        <w:tc>
          <w:tcPr>
            <w:shd w:fill="FFFFFF" w:val="clear"/>
          </w:tcPr>
          <w:p>
            <w:pPr>
              <w:jc w:val="center"/>
            </w:pPr>
            <w:r>
              <w:rPr>
                <w:color w:val="1A1A2E"/>
                <w:sz w:val="20"/>
                <w:szCs w:val="20"/>
              </w:rPr>
              <w:t xml:space="preserve">Many-to-One</w:t>
            </w:r>
          </w:p>
        </w:tc>
        <w:tc>
          <w:tcPr>
            <w:shd w:fill="FFFFFF" w:val="clear"/>
          </w:tcPr>
          <w:p>
            <w:pPr>
              <w:jc w:val="center"/>
            </w:pPr>
            <w:r>
              <w:rPr>
                <w:color w:val="1A1A2E"/>
                <w:sz w:val="20"/>
                <w:szCs w:val="20"/>
              </w:rPr>
              <w:t xml:space="preserve">Single</w:t>
            </w:r>
          </w:p>
        </w:tc>
      </w:tr>
    </w:tbl>
    <w:p>
      <w:pPr>
        <w:spacing w:after="0" w:before="12"/>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FF3CD" w:val="clear"/>
            <w:tcMar>
              <w:top w:type="dxa" w:w="172"/>
              <w:left w:type="dxa" w:w="216"/>
              <w:bottom w:type="dxa" w:w="172"/>
              <w:right w:type="dxa" w:w="216"/>
            </w:tcMar>
          </w:tcPr>
          <w:p>
            <w:pPr>
              <w:spacing w:after="8" w:before="8"/>
            </w:pPr>
            <w:r>
              <w:rPr>
                <w:b/>
                <w:bCs/>
                <w:color w:val="1E3A5F"/>
                <w:sz w:val="26"/>
                <w:szCs w:val="26"/>
              </w:rPr>
              <w:t xml:space="preserve">⚠ Critical Model Warning</w:t>
            </w:r>
          </w:p>
          <w:p>
            <w:pPr>
              <w:spacing w:after="6" w:before="6"/>
            </w:pPr>
            <w:r>
              <w:rPr>
                <w:b/>
                <w:bCs/>
                <w:color w:val="C0392B"/>
                <w:sz w:val="22"/>
                <w:szCs w:val="22"/>
              </w:rPr>
              <w:t xml:space="preserve">⚠ Risk:  </w:t>
            </w:r>
            <w:r>
              <w:rPr>
                <w:color w:val="1A1A2E"/>
                <w:sz w:val="22"/>
                <w:szCs w:val="22"/>
              </w:rPr>
              <w:t xml:space="preserve">Never build visuals before confirming relationships. Use a simple Matrix visual: put ticker on rows, year on columns, and SUM(close) as value — if numbers duplicate or look wrong, a relationship is missing or set to the wrong cardinality. Fix it before proceeding.</w:t>
            </w:r>
          </w:p>
        </w:tc>
      </w:tr>
    </w:tbl>
    <w:p>
      <w:pPr>
        <w:spacing w:after="0" w:before="12"/>
      </w:pPr>
    </w:p>
    <w:p>
      <w:r>
        <w:br w:type="page"/>
      </w:r>
    </w:p>
    <w:p>
      <w:pPr>
        <w:pStyle w:val="Heading1"/>
        <w:pBdr>
          <w:bottom w:val="single" w:color="C8A951" w:sz="6" w:space="4"/>
        </w:pBdr>
        <w:spacing w:after="16" w:before="36"/>
        <w:rPr>
          <w:b/>
          <w:bCs/>
          <w:color w:val="1E3A5F"/>
          <w:sz w:val="40"/>
          <w:szCs w:val="40"/>
        </w:rPr>
      </w:pPr>
      <w:r>
        <w:t xml:space="preserve">2.  Core DAX Measure Library</w:t>
      </w:r>
    </w:p>
    <w:p>
      <w:pPr>
        <w:spacing w:after="8" w:before="8"/>
        <w:jc w:val="both"/>
      </w:pPr>
      <w:r>
        <w:rPr>
          <w:color w:val="1A1A2E"/>
          <w:sz w:val="22"/>
          <w:szCs w:val="22"/>
        </w:rPr>
        <w:t xml:space="preserve">Build all measures below into a dedicated measure table called _Measures. Never store measures in fact tables. Group them by category using display folders.</w:t>
      </w:r>
    </w:p>
    <w:p>
      <w:pPr>
        <w:spacing w:after="0" w:before="8"/>
      </w:pPr>
    </w:p>
    <w:p>
      <w:pPr>
        <w:pStyle w:val="Heading2"/>
        <w:spacing w:after="12" w:before="28"/>
        <w:rPr>
          <w:b/>
          <w:bCs/>
          <w:color w:val="2E6DA4"/>
          <w:sz w:val="32"/>
          <w:szCs w:val="32"/>
        </w:rPr>
      </w:pPr>
      <w:r>
        <w:t xml:space="preserve">2.1  Return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1E3A5F" w:val="clear"/>
            <w:vAlign w:val="center"/>
          </w:tcPr>
          <w:p>
            <w:pPr>
              <w:jc w:val="center"/>
            </w:pPr>
            <w:r>
              <w:rPr>
                <w:b/>
                <w:bCs/>
                <w:color w:val="FFFFFF"/>
                <w:sz w:val="20"/>
                <w:szCs w:val="20"/>
              </w:rPr>
              <w:t xml:space="preserve">Measure Name</w:t>
            </w:r>
          </w:p>
        </w:tc>
        <w:tc>
          <w:tcPr>
            <w:shd w:fill="1E3A5F" w:val="clear"/>
            <w:vAlign w:val="center"/>
          </w:tcPr>
          <w:p>
            <w:pPr>
              <w:jc w:val="center"/>
            </w:pPr>
            <w:r>
              <w:rPr>
                <w:b/>
                <w:bCs/>
                <w:color w:val="FFFFFF"/>
                <w:sz w:val="20"/>
                <w:szCs w:val="20"/>
              </w:rPr>
              <w:t xml:space="preserve">DAX Formula (summarised)</w:t>
            </w:r>
          </w:p>
        </w:tc>
        <w:tc>
          <w:tcPr>
            <w:shd w:fill="1E3A5F" w:val="clear"/>
            <w:vAlign w:val="center"/>
          </w:tcPr>
          <w:p>
            <w:pPr>
              <w:jc w:val="center"/>
            </w:pPr>
            <w:r>
              <w:rPr>
                <w:b/>
                <w:bCs/>
                <w:color w:val="FFFFFF"/>
                <w:sz w:val="20"/>
                <w:szCs w:val="20"/>
              </w:rPr>
              <w:t xml:space="preserve">Business Use</w:t>
            </w:r>
          </w:p>
        </w:tc>
      </w:tr>
      <w:tr>
        <w:tc>
          <w:tcPr>
            <w:shd w:fill="FFFFFF" w:val="clear"/>
          </w:tcPr>
          <w:p>
            <w:pPr>
              <w:jc w:val="left"/>
            </w:pPr>
            <w:r>
              <w:rPr>
                <w:color w:val="1A1A2E"/>
                <w:sz w:val="20"/>
                <w:szCs w:val="20"/>
              </w:rPr>
              <w:t xml:space="preserve">Daily Return %</w:t>
            </w:r>
          </w:p>
        </w:tc>
        <w:tc>
          <w:tcPr>
            <w:shd w:fill="FFFFFF" w:val="clear"/>
          </w:tcPr>
          <w:p>
            <w:pPr>
              <w:jc w:val="center"/>
            </w:pPr>
            <w:r>
              <w:rPr>
                <w:color w:val="1A1A2E"/>
                <w:sz w:val="20"/>
                <w:szCs w:val="20"/>
              </w:rPr>
              <w:t xml:space="preserve">AVERAGE(fact[return_1d])</w:t>
            </w:r>
          </w:p>
        </w:tc>
        <w:tc>
          <w:tcPr>
            <w:shd w:fill="FFFFFF" w:val="clear"/>
          </w:tcPr>
          <w:p>
            <w:pPr>
              <w:jc w:val="center"/>
            </w:pPr>
            <w:r>
              <w:rPr>
                <w:color w:val="1A1A2E"/>
                <w:sz w:val="20"/>
                <w:szCs w:val="20"/>
              </w:rPr>
              <w:t xml:space="preserve">How did the market/ticker move today?</w:t>
            </w:r>
          </w:p>
        </w:tc>
      </w:tr>
      <w:tr>
        <w:tc>
          <w:tcPr>
            <w:shd w:fill="F4F6F9" w:val="clear"/>
          </w:tcPr>
          <w:p>
            <w:pPr>
              <w:jc w:val="left"/>
            </w:pPr>
            <w:r>
              <w:rPr>
                <w:color w:val="1A1A2E"/>
                <w:sz w:val="20"/>
                <w:szCs w:val="20"/>
              </w:rPr>
              <w:t xml:space="preserve">Period Return %</w:t>
            </w:r>
          </w:p>
        </w:tc>
        <w:tc>
          <w:tcPr>
            <w:shd w:fill="F4F6F9" w:val="clear"/>
          </w:tcPr>
          <w:p>
            <w:pPr>
              <w:jc w:val="center"/>
            </w:pPr>
            <w:r>
              <w:rPr>
                <w:color w:val="1A1A2E"/>
                <w:sz w:val="20"/>
                <w:szCs w:val="20"/>
              </w:rPr>
              <w:t xml:space="preserve">DIVIDE([Close Last] - [Close First], [Close First])</w:t>
            </w:r>
          </w:p>
        </w:tc>
        <w:tc>
          <w:tcPr>
            <w:shd w:fill="F4F6F9" w:val="clear"/>
          </w:tcPr>
          <w:p>
            <w:pPr>
              <w:jc w:val="center"/>
            </w:pPr>
            <w:r>
              <w:rPr>
                <w:color w:val="1A1A2E"/>
                <w:sz w:val="20"/>
                <w:szCs w:val="20"/>
              </w:rPr>
              <w:t xml:space="preserve">Total gain/loss over selected date range</w:t>
            </w:r>
          </w:p>
        </w:tc>
      </w:tr>
      <w:tr>
        <w:tc>
          <w:tcPr>
            <w:shd w:fill="FFFFFF" w:val="clear"/>
          </w:tcPr>
          <w:p>
            <w:pPr>
              <w:jc w:val="left"/>
            </w:pPr>
            <w:r>
              <w:rPr>
                <w:color w:val="1A1A2E"/>
                <w:sz w:val="20"/>
                <w:szCs w:val="20"/>
              </w:rPr>
              <w:t xml:space="preserve">YTD Return %</w:t>
            </w:r>
          </w:p>
        </w:tc>
        <w:tc>
          <w:tcPr>
            <w:shd w:fill="FFFFFF" w:val="clear"/>
          </w:tcPr>
          <w:p>
            <w:pPr>
              <w:jc w:val="center"/>
            </w:pPr>
            <w:r>
              <w:rPr>
                <w:color w:val="1A1A2E"/>
                <w:sz w:val="20"/>
                <w:szCs w:val="20"/>
              </w:rPr>
              <w:t xml:space="preserve">TOTALYTD([Period Return %], dim_date[date])</w:t>
            </w:r>
          </w:p>
        </w:tc>
        <w:tc>
          <w:tcPr>
            <w:shd w:fill="FFFFFF" w:val="clear"/>
          </w:tcPr>
          <w:p>
            <w:pPr>
              <w:jc w:val="center"/>
            </w:pPr>
            <w:r>
              <w:rPr>
                <w:color w:val="1A1A2E"/>
                <w:sz w:val="20"/>
                <w:szCs w:val="20"/>
              </w:rPr>
              <w:t xml:space="preserve">Year-to-date performance for annual reporting</w:t>
            </w:r>
          </w:p>
        </w:tc>
      </w:tr>
      <w:tr>
        <w:tc>
          <w:tcPr>
            <w:shd w:fill="F4F6F9" w:val="clear"/>
          </w:tcPr>
          <w:p>
            <w:pPr>
              <w:jc w:val="left"/>
            </w:pPr>
            <w:r>
              <w:rPr>
                <w:color w:val="1A1A2E"/>
                <w:sz w:val="20"/>
                <w:szCs w:val="20"/>
              </w:rPr>
              <w:t xml:space="preserve">Cumulative Return Index</w:t>
            </w:r>
          </w:p>
        </w:tc>
        <w:tc>
          <w:tcPr>
            <w:shd w:fill="F4F6F9" w:val="clear"/>
          </w:tcPr>
          <w:p>
            <w:pPr>
              <w:jc w:val="center"/>
            </w:pPr>
            <w:r>
              <w:rPr>
                <w:color w:val="1A1A2E"/>
                <w:sz w:val="20"/>
                <w:szCs w:val="20"/>
              </w:rPr>
              <w:t xml:space="preserve">PRODUCTX filter on (1 + return_1d) - 1</w:t>
            </w:r>
          </w:p>
        </w:tc>
        <w:tc>
          <w:tcPr>
            <w:shd w:fill="F4F6F9" w:val="clear"/>
          </w:tcPr>
          <w:p>
            <w:pPr>
              <w:jc w:val="center"/>
            </w:pPr>
            <w:r>
              <w:rPr>
                <w:color w:val="1A1A2E"/>
                <w:sz w:val="20"/>
                <w:szCs w:val="20"/>
              </w:rPr>
              <w:t xml:space="preserve">Compounded growth — ideal for line chart base-100 view</w:t>
            </w:r>
          </w:p>
        </w:tc>
      </w:tr>
      <w:tr>
        <w:tc>
          <w:tcPr>
            <w:shd w:fill="FFFFFF" w:val="clear"/>
          </w:tcPr>
          <w:p>
            <w:pPr>
              <w:jc w:val="left"/>
            </w:pPr>
            <w:r>
              <w:rPr>
                <w:color w:val="1A1A2E"/>
                <w:sz w:val="20"/>
                <w:szCs w:val="20"/>
              </w:rPr>
              <w:t xml:space="preserve">CAGR</w:t>
            </w:r>
          </w:p>
        </w:tc>
        <w:tc>
          <w:tcPr>
            <w:shd w:fill="FFFFFF" w:val="clear"/>
          </w:tcPr>
          <w:p>
            <w:pPr>
              <w:jc w:val="center"/>
            </w:pPr>
            <w:r>
              <w:rPr>
                <w:color w:val="1A1A2E"/>
                <w:sz w:val="20"/>
                <w:szCs w:val="20"/>
              </w:rPr>
              <w:t xml:space="preserve">([Close Last]/[Close First])^(1/years)-1</w:t>
            </w:r>
          </w:p>
        </w:tc>
        <w:tc>
          <w:tcPr>
            <w:shd w:fill="FFFFFF" w:val="clear"/>
          </w:tcPr>
          <w:p>
            <w:pPr>
              <w:jc w:val="center"/>
            </w:pPr>
            <w:r>
              <w:rPr>
                <w:color w:val="1A1A2E"/>
                <w:sz w:val="20"/>
                <w:szCs w:val="20"/>
              </w:rPr>
              <w:t xml:space="preserve">Annualised return for multi-year comparisons</w:t>
            </w:r>
          </w:p>
        </w:tc>
      </w:tr>
    </w:tbl>
    <w:p>
      <w:pPr>
        <w:spacing w:after="0" w:before="8"/>
      </w:pPr>
    </w:p>
    <w:p>
      <w:pPr>
        <w:pStyle w:val="Heading2"/>
        <w:spacing w:after="12" w:before="28"/>
        <w:rPr>
          <w:b/>
          <w:bCs/>
          <w:color w:val="2E6DA4"/>
          <w:sz w:val="32"/>
          <w:szCs w:val="32"/>
        </w:rPr>
      </w:pPr>
      <w:r>
        <w:t xml:space="preserve">2.2  Moving Average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1E3A5F" w:val="clear"/>
            <w:vAlign w:val="center"/>
          </w:tcPr>
          <w:p>
            <w:pPr>
              <w:jc w:val="center"/>
            </w:pPr>
            <w:r>
              <w:rPr>
                <w:b/>
                <w:bCs/>
                <w:color w:val="FFFFFF"/>
                <w:sz w:val="20"/>
                <w:szCs w:val="20"/>
              </w:rPr>
              <w:t xml:space="preserve">Measure</w:t>
            </w:r>
          </w:p>
        </w:tc>
        <w:tc>
          <w:tcPr>
            <w:shd w:fill="1E3A5F" w:val="clear"/>
            <w:vAlign w:val="center"/>
          </w:tcPr>
          <w:p>
            <w:pPr>
              <w:jc w:val="center"/>
            </w:pPr>
            <w:r>
              <w:rPr>
                <w:b/>
                <w:bCs/>
                <w:color w:val="FFFFFF"/>
                <w:sz w:val="20"/>
                <w:szCs w:val="20"/>
              </w:rPr>
              <w:t xml:space="preserve">Window</w:t>
            </w:r>
          </w:p>
        </w:tc>
        <w:tc>
          <w:tcPr>
            <w:shd w:fill="1E3A5F" w:val="clear"/>
            <w:vAlign w:val="center"/>
          </w:tcPr>
          <w:p>
            <w:pPr>
              <w:jc w:val="center"/>
            </w:pPr>
            <w:r>
              <w:rPr>
                <w:b/>
                <w:bCs/>
                <w:color w:val="FFFFFF"/>
                <w:sz w:val="20"/>
                <w:szCs w:val="20"/>
              </w:rPr>
              <w:t xml:space="preserve">Signal Meaning</w:t>
            </w:r>
          </w:p>
        </w:tc>
      </w:tr>
      <w:tr>
        <w:tc>
          <w:tcPr>
            <w:shd w:fill="FFFFFF" w:val="clear"/>
          </w:tcPr>
          <w:p>
            <w:pPr>
              <w:jc w:val="left"/>
            </w:pPr>
            <w:r>
              <w:rPr>
                <w:color w:val="1A1A2E"/>
                <w:sz w:val="20"/>
                <w:szCs w:val="20"/>
              </w:rPr>
              <w:t xml:space="preserve">MA 20</w:t>
            </w:r>
          </w:p>
        </w:tc>
        <w:tc>
          <w:tcPr>
            <w:shd w:fill="FFFFFF" w:val="clear"/>
          </w:tcPr>
          <w:p>
            <w:pPr>
              <w:jc w:val="center"/>
            </w:pPr>
            <w:r>
              <w:rPr>
                <w:color w:val="1A1A2E"/>
                <w:sz w:val="20"/>
                <w:szCs w:val="20"/>
              </w:rPr>
              <w:t xml:space="preserve">20 trading days (~1 month)</w:t>
            </w:r>
          </w:p>
        </w:tc>
        <w:tc>
          <w:tcPr>
            <w:shd w:fill="FFFFFF" w:val="clear"/>
          </w:tcPr>
          <w:p>
            <w:pPr>
              <w:jc w:val="center"/>
            </w:pPr>
            <w:r>
              <w:rPr>
                <w:color w:val="1A1A2E"/>
                <w:sz w:val="20"/>
                <w:szCs w:val="20"/>
              </w:rPr>
              <w:t xml:space="preserve">Short-term momentum; crossing above = near-term bullish</w:t>
            </w:r>
          </w:p>
        </w:tc>
      </w:tr>
      <w:tr>
        <w:tc>
          <w:tcPr>
            <w:shd w:fill="F4F6F9" w:val="clear"/>
          </w:tcPr>
          <w:p>
            <w:pPr>
              <w:jc w:val="left"/>
            </w:pPr>
            <w:r>
              <w:rPr>
                <w:color w:val="1A1A2E"/>
                <w:sz w:val="20"/>
                <w:szCs w:val="20"/>
              </w:rPr>
              <w:t xml:space="preserve">MA 50</w:t>
            </w:r>
          </w:p>
        </w:tc>
        <w:tc>
          <w:tcPr>
            <w:shd w:fill="F4F6F9" w:val="clear"/>
          </w:tcPr>
          <w:p>
            <w:pPr>
              <w:jc w:val="center"/>
            </w:pPr>
            <w:r>
              <w:rPr>
                <w:color w:val="1A1A2E"/>
                <w:sz w:val="20"/>
                <w:szCs w:val="20"/>
              </w:rPr>
              <w:t xml:space="preserve">50 trading days (~2.5 months)</w:t>
            </w:r>
          </w:p>
        </w:tc>
        <w:tc>
          <w:tcPr>
            <w:shd w:fill="F4F6F9" w:val="clear"/>
          </w:tcPr>
          <w:p>
            <w:pPr>
              <w:jc w:val="center"/>
            </w:pPr>
            <w:r>
              <w:rPr>
                <w:color w:val="1A1A2E"/>
                <w:sz w:val="20"/>
                <w:szCs w:val="20"/>
              </w:rPr>
              <w:t xml:space="preserve">Medium-term trend confirmation</w:t>
            </w:r>
          </w:p>
        </w:tc>
      </w:tr>
      <w:tr>
        <w:tc>
          <w:tcPr>
            <w:shd w:fill="FFFFFF" w:val="clear"/>
          </w:tcPr>
          <w:p>
            <w:pPr>
              <w:jc w:val="left"/>
            </w:pPr>
            <w:r>
              <w:rPr>
                <w:color w:val="1A1A2E"/>
                <w:sz w:val="20"/>
                <w:szCs w:val="20"/>
              </w:rPr>
              <w:t xml:space="preserve">MA 200</w:t>
            </w:r>
          </w:p>
        </w:tc>
        <w:tc>
          <w:tcPr>
            <w:shd w:fill="FFFFFF" w:val="clear"/>
          </w:tcPr>
          <w:p>
            <w:pPr>
              <w:jc w:val="center"/>
            </w:pPr>
            <w:r>
              <w:rPr>
                <w:color w:val="1A1A2E"/>
                <w:sz w:val="20"/>
                <w:szCs w:val="20"/>
              </w:rPr>
              <w:t xml:space="preserve">200 trading days (~1 year)</w:t>
            </w:r>
          </w:p>
        </w:tc>
        <w:tc>
          <w:tcPr>
            <w:shd w:fill="FFFFFF" w:val="clear"/>
          </w:tcPr>
          <w:p>
            <w:pPr>
              <w:jc w:val="center"/>
            </w:pPr>
            <w:r>
              <w:rPr>
                <w:color w:val="1A1A2E"/>
                <w:sz w:val="20"/>
                <w:szCs w:val="20"/>
              </w:rPr>
              <w:t xml:space="preserve">Long-term health; 'death cross' when MA50 &lt; MA200</w:t>
            </w:r>
          </w:p>
        </w:tc>
      </w:tr>
    </w:tbl>
    <w:p>
      <w:pPr>
        <w:spacing w:after="0" w:before="8"/>
      </w:pPr>
    </w:p>
    <w:p>
      <w:pPr>
        <w:pStyle w:val="Heading2"/>
        <w:spacing w:after="12" w:before="28"/>
        <w:rPr>
          <w:b/>
          <w:bCs/>
          <w:color w:val="2E6DA4"/>
          <w:sz w:val="32"/>
          <w:szCs w:val="32"/>
        </w:rPr>
      </w:pPr>
      <w:r>
        <w:t xml:space="preserve">2.3  Volatility &amp; Risk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1E3A5F" w:val="clear"/>
            <w:vAlign w:val="center"/>
          </w:tcPr>
          <w:p>
            <w:pPr>
              <w:jc w:val="center"/>
            </w:pPr>
            <w:r>
              <w:rPr>
                <w:b/>
                <w:bCs/>
                <w:color w:val="FFFFFF"/>
                <w:sz w:val="20"/>
                <w:szCs w:val="20"/>
              </w:rPr>
              <w:t xml:space="preserve">Measure</w:t>
            </w:r>
          </w:p>
        </w:tc>
        <w:tc>
          <w:tcPr>
            <w:shd w:fill="1E3A5F" w:val="clear"/>
            <w:vAlign w:val="center"/>
          </w:tcPr>
          <w:p>
            <w:pPr>
              <w:jc w:val="center"/>
            </w:pPr>
            <w:r>
              <w:rPr>
                <w:b/>
                <w:bCs/>
                <w:color w:val="FFFFFF"/>
                <w:sz w:val="20"/>
                <w:szCs w:val="20"/>
              </w:rPr>
              <w:t xml:space="preserve">Formula</w:t>
            </w:r>
          </w:p>
        </w:tc>
        <w:tc>
          <w:tcPr>
            <w:shd w:fill="1E3A5F" w:val="clear"/>
            <w:vAlign w:val="center"/>
          </w:tcPr>
          <w:p>
            <w:pPr>
              <w:jc w:val="center"/>
            </w:pPr>
            <w:r>
              <w:rPr>
                <w:b/>
                <w:bCs/>
                <w:color w:val="FFFFFF"/>
                <w:sz w:val="20"/>
                <w:szCs w:val="20"/>
              </w:rPr>
              <w:t xml:space="preserve">Interpretation</w:t>
            </w:r>
          </w:p>
        </w:tc>
      </w:tr>
      <w:tr>
        <w:tc>
          <w:tcPr>
            <w:shd w:fill="FFFFFF" w:val="clear"/>
          </w:tcPr>
          <w:p>
            <w:pPr>
              <w:jc w:val="left"/>
            </w:pPr>
            <w:r>
              <w:rPr>
                <w:color w:val="1A1A2E"/>
                <w:sz w:val="20"/>
                <w:szCs w:val="20"/>
              </w:rPr>
              <w:t xml:space="preserve">Daily Volatility</w:t>
            </w:r>
          </w:p>
        </w:tc>
        <w:tc>
          <w:tcPr>
            <w:shd w:fill="FFFFFF" w:val="clear"/>
          </w:tcPr>
          <w:p>
            <w:pPr>
              <w:jc w:val="center"/>
            </w:pPr>
            <w:r>
              <w:rPr>
                <w:color w:val="1A1A2E"/>
                <w:sz w:val="20"/>
                <w:szCs w:val="20"/>
              </w:rPr>
              <w:t xml:space="preserve">STDEVX.P on return_1d</w:t>
            </w:r>
          </w:p>
        </w:tc>
        <w:tc>
          <w:tcPr>
            <w:shd w:fill="FFFFFF" w:val="clear"/>
          </w:tcPr>
          <w:p>
            <w:pPr>
              <w:jc w:val="center"/>
            </w:pPr>
            <w:r>
              <w:rPr>
                <w:color w:val="1A1A2E"/>
                <w:sz w:val="20"/>
                <w:szCs w:val="20"/>
              </w:rPr>
              <w:t xml:space="preserve">Day-to-day price swing — higher = riskier</w:t>
            </w:r>
          </w:p>
        </w:tc>
      </w:tr>
      <w:tr>
        <w:tc>
          <w:tcPr>
            <w:shd w:fill="F4F6F9" w:val="clear"/>
          </w:tcPr>
          <w:p>
            <w:pPr>
              <w:jc w:val="left"/>
            </w:pPr>
            <w:r>
              <w:rPr>
                <w:color w:val="1A1A2E"/>
                <w:sz w:val="20"/>
                <w:szCs w:val="20"/>
              </w:rPr>
              <w:t xml:space="preserve">Annualised Volatility</w:t>
            </w:r>
          </w:p>
        </w:tc>
        <w:tc>
          <w:tcPr>
            <w:shd w:fill="F4F6F9" w:val="clear"/>
          </w:tcPr>
          <w:p>
            <w:pPr>
              <w:jc w:val="center"/>
            </w:pPr>
            <w:r>
              <w:rPr>
                <w:color w:val="1A1A2E"/>
                <w:sz w:val="20"/>
                <w:szCs w:val="20"/>
              </w:rPr>
              <w:t xml:space="preserve">Daily Vol × SQRT(252)</w:t>
            </w:r>
          </w:p>
        </w:tc>
        <w:tc>
          <w:tcPr>
            <w:shd w:fill="F4F6F9" w:val="clear"/>
          </w:tcPr>
          <w:p>
            <w:pPr>
              <w:jc w:val="center"/>
            </w:pPr>
            <w:r>
              <w:rPr>
                <w:color w:val="1A1A2E"/>
                <w:sz w:val="20"/>
                <w:szCs w:val="20"/>
              </w:rPr>
              <w:t xml:space="preserve">Industry-standard risk metric; &gt;30% = highly volatile</w:t>
            </w:r>
          </w:p>
        </w:tc>
      </w:tr>
      <w:tr>
        <w:tc>
          <w:tcPr>
            <w:shd w:fill="FFFFFF" w:val="clear"/>
          </w:tcPr>
          <w:p>
            <w:pPr>
              <w:jc w:val="left"/>
            </w:pPr>
            <w:r>
              <w:rPr>
                <w:color w:val="1A1A2E"/>
                <w:sz w:val="20"/>
                <w:szCs w:val="20"/>
              </w:rPr>
              <w:t xml:space="preserve">Sharpe Ratio (approx)</w:t>
            </w:r>
          </w:p>
        </w:tc>
        <w:tc>
          <w:tcPr>
            <w:shd w:fill="FFFFFF" w:val="clear"/>
          </w:tcPr>
          <w:p>
            <w:pPr>
              <w:jc w:val="center"/>
            </w:pPr>
            <w:r>
              <w:rPr>
                <w:color w:val="1A1A2E"/>
                <w:sz w:val="20"/>
                <w:szCs w:val="20"/>
              </w:rPr>
              <w:t xml:space="preserve">Period Return / Ann. Volatility</w:t>
            </w:r>
          </w:p>
        </w:tc>
        <w:tc>
          <w:tcPr>
            <w:shd w:fill="FFFFFF" w:val="clear"/>
          </w:tcPr>
          <w:p>
            <w:pPr>
              <w:jc w:val="center"/>
            </w:pPr>
            <w:r>
              <w:rPr>
                <w:color w:val="1A1A2E"/>
                <w:sz w:val="20"/>
                <w:szCs w:val="20"/>
              </w:rPr>
              <w:t xml:space="preserve">Return per unit of risk; &gt;1 is acceptable, &gt;2 is excellent</w:t>
            </w:r>
          </w:p>
        </w:tc>
      </w:tr>
      <w:tr>
        <w:tc>
          <w:tcPr>
            <w:shd w:fill="F4F6F9" w:val="clear"/>
          </w:tcPr>
          <w:p>
            <w:pPr>
              <w:jc w:val="left"/>
            </w:pPr>
            <w:r>
              <w:rPr>
                <w:color w:val="1A1A2E"/>
                <w:sz w:val="20"/>
                <w:szCs w:val="20"/>
              </w:rPr>
              <w:t xml:space="preserve">Max Drawdown</w:t>
            </w:r>
          </w:p>
        </w:tc>
        <w:tc>
          <w:tcPr>
            <w:shd w:fill="F4F6F9" w:val="clear"/>
          </w:tcPr>
          <w:p>
            <w:pPr>
              <w:jc w:val="center"/>
            </w:pPr>
            <w:r>
              <w:rPr>
                <w:color w:val="1A1A2E"/>
                <w:sz w:val="20"/>
                <w:szCs w:val="20"/>
              </w:rPr>
              <w:t xml:space="preserve">MIN running calc on close</w:t>
            </w:r>
          </w:p>
        </w:tc>
        <w:tc>
          <w:tcPr>
            <w:shd w:fill="F4F6F9" w:val="clear"/>
          </w:tcPr>
          <w:p>
            <w:pPr>
              <w:jc w:val="center"/>
            </w:pPr>
            <w:r>
              <w:rPr>
                <w:color w:val="1A1A2E"/>
                <w:sz w:val="20"/>
                <w:szCs w:val="20"/>
              </w:rPr>
              <w:t xml:space="preserve">Worst peak-to-trough loss in period — key tail-risk measure</w:t>
            </w:r>
          </w:p>
        </w:tc>
      </w:tr>
      <w:tr>
        <w:tc>
          <w:tcPr>
            <w:shd w:fill="FFFFFF" w:val="clear"/>
          </w:tcPr>
          <w:p>
            <w:pPr>
              <w:jc w:val="left"/>
            </w:pPr>
            <w:r>
              <w:rPr>
                <w:color w:val="1A1A2E"/>
                <w:sz w:val="20"/>
                <w:szCs w:val="20"/>
              </w:rPr>
              <w:t xml:space="preserve">Value at Risk (95%)</w:t>
            </w:r>
          </w:p>
        </w:tc>
        <w:tc>
          <w:tcPr>
            <w:shd w:fill="FFFFFF" w:val="clear"/>
          </w:tcPr>
          <w:p>
            <w:pPr>
              <w:jc w:val="center"/>
            </w:pPr>
            <w:r>
              <w:rPr>
                <w:color w:val="1A1A2E"/>
                <w:sz w:val="20"/>
                <w:szCs w:val="20"/>
              </w:rPr>
              <w:t xml:space="preserve">PERCENTILE on daily returns</w:t>
            </w:r>
          </w:p>
        </w:tc>
        <w:tc>
          <w:tcPr>
            <w:shd w:fill="FFFFFF" w:val="clear"/>
          </w:tcPr>
          <w:p>
            <w:pPr>
              <w:jc w:val="center"/>
            </w:pPr>
            <w:r>
              <w:rPr>
                <w:color w:val="1A1A2E"/>
                <w:sz w:val="20"/>
                <w:szCs w:val="20"/>
              </w:rPr>
              <w:t xml:space="preserve">Expected max 1-day loss 95% of the time</w:t>
            </w:r>
          </w:p>
        </w:tc>
      </w:tr>
    </w:tbl>
    <w:p>
      <w:pPr>
        <w:spacing w:after="0" w:before="8"/>
      </w:pPr>
    </w:p>
    <w:p>
      <w:pPr>
        <w:pStyle w:val="Heading2"/>
        <w:spacing w:after="12" w:before="28"/>
        <w:rPr>
          <w:b/>
          <w:bCs/>
          <w:color w:val="2E6DA4"/>
          <w:sz w:val="32"/>
          <w:szCs w:val="32"/>
        </w:rPr>
      </w:pPr>
      <w:r>
        <w:t xml:space="preserve">2.4  Volume &amp; Liquidity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1E3A5F" w:val="clear"/>
            <w:vAlign w:val="center"/>
          </w:tcPr>
          <w:p>
            <w:pPr>
              <w:jc w:val="center"/>
            </w:pPr>
            <w:r>
              <w:rPr>
                <w:b/>
                <w:bCs/>
                <w:color w:val="FFFFFF"/>
                <w:sz w:val="20"/>
                <w:szCs w:val="20"/>
              </w:rPr>
              <w:t xml:space="preserve">Measure</w:t>
            </w:r>
          </w:p>
        </w:tc>
        <w:tc>
          <w:tcPr>
            <w:shd w:fill="1E3A5F" w:val="clear"/>
            <w:vAlign w:val="center"/>
          </w:tcPr>
          <w:p>
            <w:pPr>
              <w:jc w:val="center"/>
            </w:pPr>
            <w:r>
              <w:rPr>
                <w:b/>
                <w:bCs/>
                <w:color w:val="FFFFFF"/>
                <w:sz w:val="20"/>
                <w:szCs w:val="20"/>
              </w:rPr>
              <w:t xml:space="preserve">Source Column</w:t>
            </w:r>
          </w:p>
        </w:tc>
        <w:tc>
          <w:tcPr>
            <w:shd w:fill="1E3A5F" w:val="clear"/>
            <w:vAlign w:val="center"/>
          </w:tcPr>
          <w:p>
            <w:pPr>
              <w:jc w:val="center"/>
            </w:pPr>
            <w:r>
              <w:rPr>
                <w:b/>
                <w:bCs/>
                <w:color w:val="FFFFFF"/>
                <w:sz w:val="20"/>
                <w:szCs w:val="20"/>
              </w:rPr>
              <w:t xml:space="preserve">Business Question</w:t>
            </w:r>
          </w:p>
        </w:tc>
      </w:tr>
      <w:tr>
        <w:tc>
          <w:tcPr>
            <w:shd w:fill="FFFFFF" w:val="clear"/>
          </w:tcPr>
          <w:p>
            <w:pPr>
              <w:jc w:val="left"/>
            </w:pPr>
            <w:r>
              <w:rPr>
                <w:color w:val="1A1A2E"/>
                <w:sz w:val="20"/>
                <w:szCs w:val="20"/>
              </w:rPr>
              <w:t xml:space="preserve">Avg Daily Volume</w:t>
            </w:r>
          </w:p>
        </w:tc>
        <w:tc>
          <w:tcPr>
            <w:shd w:fill="FFFFFF" w:val="clear"/>
          </w:tcPr>
          <w:p>
            <w:pPr>
              <w:jc w:val="center"/>
            </w:pPr>
            <w:r>
              <w:rPr>
                <w:color w:val="1A1A2E"/>
                <w:sz w:val="20"/>
                <w:szCs w:val="20"/>
              </w:rPr>
              <w:t xml:space="preserve">volume_leaders.avg_daily_volume</w:t>
            </w:r>
          </w:p>
        </w:tc>
        <w:tc>
          <w:tcPr>
            <w:shd w:fill="FFFFFF" w:val="clear"/>
          </w:tcPr>
          <w:p>
            <w:pPr>
              <w:jc w:val="center"/>
            </w:pPr>
            <w:r>
              <w:rPr>
                <w:color w:val="1A1A2E"/>
                <w:sz w:val="20"/>
                <w:szCs w:val="20"/>
              </w:rPr>
              <w:t xml:space="preserve">Is this stock liquid enough to trade without slippage?</w:t>
            </w:r>
          </w:p>
        </w:tc>
      </w:tr>
      <w:tr>
        <w:tc>
          <w:tcPr>
            <w:shd w:fill="F4F6F9" w:val="clear"/>
          </w:tcPr>
          <w:p>
            <w:pPr>
              <w:jc w:val="left"/>
            </w:pPr>
            <w:r>
              <w:rPr>
                <w:color w:val="1A1A2E"/>
                <w:sz w:val="20"/>
                <w:szCs w:val="20"/>
              </w:rPr>
              <w:t xml:space="preserve">Volume Spike Flag</w:t>
            </w:r>
          </w:p>
        </w:tc>
        <w:tc>
          <w:tcPr>
            <w:shd w:fill="F4F6F9" w:val="clear"/>
          </w:tcPr>
          <w:p>
            <w:pPr>
              <w:jc w:val="center"/>
            </w:pPr>
            <w:r>
              <w:rPr>
                <w:color w:val="1A1A2E"/>
                <w:sz w:val="20"/>
                <w:szCs w:val="20"/>
              </w:rPr>
              <w:t xml:space="preserve">volume &gt; 2× avg_vol_per_ticker</w:t>
            </w:r>
          </w:p>
        </w:tc>
        <w:tc>
          <w:tcPr>
            <w:shd w:fill="F4F6F9" w:val="clear"/>
          </w:tcPr>
          <w:p>
            <w:pPr>
              <w:jc w:val="center"/>
            </w:pPr>
            <w:r>
              <w:rPr>
                <w:color w:val="1A1A2E"/>
                <w:sz w:val="20"/>
                <w:szCs w:val="20"/>
              </w:rPr>
              <w:t xml:space="preserve">Is today's volume unusual? Signals news/events</w:t>
            </w:r>
          </w:p>
        </w:tc>
      </w:tr>
      <w:tr>
        <w:tc>
          <w:tcPr>
            <w:shd w:fill="FFFFFF" w:val="clear"/>
          </w:tcPr>
          <w:p>
            <w:pPr>
              <w:jc w:val="left"/>
            </w:pPr>
            <w:r>
              <w:rPr>
                <w:color w:val="1A1A2E"/>
                <w:sz w:val="20"/>
                <w:szCs w:val="20"/>
              </w:rPr>
              <w:t xml:space="preserve">Volume Change %</w:t>
            </w:r>
          </w:p>
        </w:tc>
        <w:tc>
          <w:tcPr>
            <w:shd w:fill="FFFFFF" w:val="clear"/>
          </w:tcPr>
          <w:p>
            <w:pPr>
              <w:jc w:val="center"/>
            </w:pPr>
            <w:r>
              <w:rPr>
                <w:color w:val="1A1A2E"/>
                <w:sz w:val="20"/>
                <w:szCs w:val="20"/>
              </w:rPr>
              <w:t xml:space="preserve">MoM avg volume comparison</w:t>
            </w:r>
          </w:p>
        </w:tc>
        <w:tc>
          <w:tcPr>
            <w:shd w:fill="FFFFFF" w:val="clear"/>
          </w:tcPr>
          <w:p>
            <w:pPr>
              <w:jc w:val="center"/>
            </w:pPr>
            <w:r>
              <w:rPr>
                <w:color w:val="1A1A2E"/>
                <w:sz w:val="20"/>
                <w:szCs w:val="20"/>
              </w:rPr>
              <w:t xml:space="preserve">Is interest growing or fading?</w:t>
            </w:r>
          </w:p>
        </w:tc>
      </w:tr>
      <w:tr>
        <w:tc>
          <w:tcPr>
            <w:shd w:fill="F4F6F9" w:val="clear"/>
          </w:tcPr>
          <w:p>
            <w:pPr>
              <w:jc w:val="left"/>
            </w:pPr>
            <w:r>
              <w:rPr>
                <w:color w:val="1A1A2E"/>
                <w:sz w:val="20"/>
                <w:szCs w:val="20"/>
              </w:rPr>
              <w:t xml:space="preserve">High Volume Days %</w:t>
            </w:r>
          </w:p>
        </w:tc>
        <w:tc>
          <w:tcPr>
            <w:shd w:fill="F4F6F9" w:val="clear"/>
          </w:tcPr>
          <w:p>
            <w:pPr>
              <w:jc w:val="center"/>
            </w:pPr>
            <w:r>
              <w:rPr>
                <w:color w:val="1A1A2E"/>
                <w:sz w:val="20"/>
                <w:szCs w:val="20"/>
              </w:rPr>
              <w:t xml:space="preserve">high_volume_days / trading_days</w:t>
            </w:r>
          </w:p>
        </w:tc>
        <w:tc>
          <w:tcPr>
            <w:shd w:fill="F4F6F9" w:val="clear"/>
          </w:tcPr>
          <w:p>
            <w:pPr>
              <w:jc w:val="center"/>
            </w:pPr>
            <w:r>
              <w:rPr>
                <w:color w:val="1A1A2E"/>
                <w:sz w:val="20"/>
                <w:szCs w:val="20"/>
              </w:rPr>
              <w:t xml:space="preserve">What fraction of days had institutional-level activity?</w:t>
            </w:r>
          </w:p>
        </w:tc>
      </w:tr>
    </w:tbl>
    <w:p>
      <w:pPr>
        <w:spacing w:after="0" w:before="8"/>
      </w:pPr>
    </w:p>
    <w:p>
      <w:pPr>
        <w:pStyle w:val="Heading2"/>
        <w:spacing w:after="12" w:before="28"/>
        <w:rPr>
          <w:b/>
          <w:bCs/>
          <w:color w:val="2E6DA4"/>
          <w:sz w:val="32"/>
          <w:szCs w:val="32"/>
        </w:rPr>
      </w:pPr>
      <w:r>
        <w:t xml:space="preserve">2.5  Technical Signal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1E3A5F" w:val="clear"/>
            <w:vAlign w:val="center"/>
          </w:tcPr>
          <w:p>
            <w:pPr>
              <w:jc w:val="center"/>
            </w:pPr>
            <w:r>
              <w:rPr>
                <w:b/>
                <w:bCs/>
                <w:color w:val="FFFFFF"/>
                <w:sz w:val="20"/>
                <w:szCs w:val="20"/>
              </w:rPr>
              <w:t xml:space="preserve">Measure</w:t>
            </w:r>
          </w:p>
        </w:tc>
        <w:tc>
          <w:tcPr>
            <w:shd w:fill="1E3A5F" w:val="clear"/>
            <w:vAlign w:val="center"/>
          </w:tcPr>
          <w:p>
            <w:pPr>
              <w:jc w:val="center"/>
            </w:pPr>
            <w:r>
              <w:rPr>
                <w:b/>
                <w:bCs/>
                <w:color w:val="FFFFFF"/>
                <w:sz w:val="20"/>
                <w:szCs w:val="20"/>
              </w:rPr>
              <w:t xml:space="preserve">Source</w:t>
            </w:r>
          </w:p>
        </w:tc>
        <w:tc>
          <w:tcPr>
            <w:shd w:fill="1E3A5F" w:val="clear"/>
            <w:vAlign w:val="center"/>
          </w:tcPr>
          <w:p>
            <w:pPr>
              <w:jc w:val="center"/>
            </w:pPr>
            <w:r>
              <w:rPr>
                <w:b/>
                <w:bCs/>
                <w:color w:val="FFFFFF"/>
                <w:sz w:val="20"/>
                <w:szCs w:val="20"/>
              </w:rPr>
              <w:t xml:space="preserve">Trading Signal</w:t>
            </w:r>
          </w:p>
        </w:tc>
      </w:tr>
      <w:tr>
        <w:tc>
          <w:tcPr>
            <w:shd w:fill="FFFFFF" w:val="clear"/>
          </w:tcPr>
          <w:p>
            <w:pPr>
              <w:jc w:val="left"/>
            </w:pPr>
            <w:r>
              <w:rPr>
                <w:color w:val="1A1A2E"/>
                <w:sz w:val="20"/>
                <w:szCs w:val="20"/>
              </w:rPr>
              <w:t xml:space="preserve">Stoch %K</w:t>
            </w:r>
          </w:p>
        </w:tc>
        <w:tc>
          <w:tcPr>
            <w:shd w:fill="FFFFFF" w:val="clear"/>
          </w:tcPr>
          <w:p>
            <w:pPr>
              <w:jc w:val="center"/>
            </w:pPr>
            <w:r>
              <w:rPr>
                <w:color w:val="1A1A2E"/>
                <w:sz w:val="20"/>
                <w:szCs w:val="20"/>
              </w:rPr>
              <w:t xml:space="preserve">stochastic_signals.avg_stochk</w:t>
            </w:r>
          </w:p>
        </w:tc>
        <w:tc>
          <w:tcPr>
            <w:shd w:fill="FFFFFF" w:val="clear"/>
          </w:tcPr>
          <w:p>
            <w:pPr>
              <w:jc w:val="center"/>
            </w:pPr>
            <w:r>
              <w:rPr>
                <w:color w:val="1A1A2E"/>
                <w:sz w:val="20"/>
                <w:szCs w:val="20"/>
              </w:rPr>
              <w:t xml:space="preserve">Momentum oscillator; &gt;80 = overbought, &lt;20 = oversold</w:t>
            </w:r>
          </w:p>
        </w:tc>
      </w:tr>
      <w:tr>
        <w:tc>
          <w:tcPr>
            <w:shd w:fill="F4F6F9" w:val="clear"/>
          </w:tcPr>
          <w:p>
            <w:pPr>
              <w:jc w:val="left"/>
            </w:pPr>
            <w:r>
              <w:rPr>
                <w:color w:val="1A1A2E"/>
                <w:sz w:val="20"/>
                <w:szCs w:val="20"/>
              </w:rPr>
              <w:t xml:space="preserve">Overbought Rate %</w:t>
            </w:r>
          </w:p>
        </w:tc>
        <w:tc>
          <w:tcPr>
            <w:shd w:fill="F4F6F9" w:val="clear"/>
          </w:tcPr>
          <w:p>
            <w:pPr>
              <w:jc w:val="center"/>
            </w:pPr>
            <w:r>
              <w:rPr>
                <w:color w:val="1A1A2E"/>
                <w:sz w:val="20"/>
                <w:szCs w:val="20"/>
              </w:rPr>
              <w:t xml:space="preserve">stochastic_signals.overbought_rate_pct</w:t>
            </w:r>
          </w:p>
        </w:tc>
        <w:tc>
          <w:tcPr>
            <w:shd w:fill="F4F6F9" w:val="clear"/>
          </w:tcPr>
          <w:p>
            <w:pPr>
              <w:jc w:val="center"/>
            </w:pPr>
            <w:r>
              <w:rPr>
                <w:color w:val="1A1A2E"/>
                <w:sz w:val="20"/>
                <w:szCs w:val="20"/>
              </w:rPr>
              <w:t xml:space="preserve">How often is this ticker in dangerous overbought territory?</w:t>
            </w:r>
          </w:p>
        </w:tc>
      </w:tr>
      <w:tr>
        <w:tc>
          <w:tcPr>
            <w:shd w:fill="FFFFFF" w:val="clear"/>
          </w:tcPr>
          <w:p>
            <w:pPr>
              <w:jc w:val="left"/>
            </w:pPr>
            <w:r>
              <w:rPr>
                <w:color w:val="1A1A2E"/>
                <w:sz w:val="20"/>
                <w:szCs w:val="20"/>
              </w:rPr>
              <w:t xml:space="preserve">K Above D Flag</w:t>
            </w:r>
          </w:p>
        </w:tc>
        <w:tc>
          <w:tcPr>
            <w:shd w:fill="FFFFFF" w:val="clear"/>
          </w:tcPr>
          <w:p>
            <w:pPr>
              <w:jc w:val="center"/>
            </w:pPr>
            <w:r>
              <w:rPr>
                <w:color w:val="1A1A2E"/>
                <w:sz w:val="20"/>
                <w:szCs w:val="20"/>
              </w:rPr>
              <w:t xml:space="preserve">stochastic_signals.k_above_d</w:t>
            </w:r>
          </w:p>
        </w:tc>
        <w:tc>
          <w:tcPr>
            <w:shd w:fill="FFFFFF" w:val="clear"/>
          </w:tcPr>
          <w:p>
            <w:pPr>
              <w:jc w:val="center"/>
            </w:pPr>
            <w:r>
              <w:rPr>
                <w:color w:val="1A1A2E"/>
                <w:sz w:val="20"/>
                <w:szCs w:val="20"/>
              </w:rPr>
              <w:t xml:space="preserve">Bullish crossover signal — potential entry point</w:t>
            </w:r>
          </w:p>
        </w:tc>
      </w:tr>
      <w:tr>
        <w:tc>
          <w:tcPr>
            <w:shd w:fill="F4F6F9" w:val="clear"/>
          </w:tcPr>
          <w:p>
            <w:pPr>
              <w:jc w:val="left"/>
            </w:pPr>
            <w:r>
              <w:rPr>
                <w:color w:val="1A1A2E"/>
                <w:sz w:val="20"/>
                <w:szCs w:val="20"/>
              </w:rPr>
              <w:t xml:space="preserve">Advance/Decline Ratio</w:t>
            </w:r>
          </w:p>
        </w:tc>
        <w:tc>
          <w:tcPr>
            <w:shd w:fill="F4F6F9" w:val="clear"/>
          </w:tcPr>
          <w:p>
            <w:pPr>
              <w:jc w:val="center"/>
            </w:pPr>
            <w:r>
              <w:rPr>
                <w:color w:val="1A1A2E"/>
                <w:sz w:val="20"/>
                <w:szCs w:val="20"/>
              </w:rPr>
              <w:t xml:space="preserve">daily_market_breadth.advance_decline_pct</w:t>
            </w:r>
          </w:p>
        </w:tc>
        <w:tc>
          <w:tcPr>
            <w:shd w:fill="F4F6F9" w:val="clear"/>
          </w:tcPr>
          <w:p>
            <w:pPr>
              <w:jc w:val="center"/>
            </w:pPr>
            <w:r>
              <w:rPr>
                <w:color w:val="1A1A2E"/>
                <w:sz w:val="20"/>
                <w:szCs w:val="20"/>
              </w:rPr>
              <w:t xml:space="preserve">Market breadth; &gt;60% advancing = bullish; &lt;40% = bearish</w:t>
            </w:r>
          </w:p>
        </w:tc>
      </w:tr>
      <w:tr>
        <w:tc>
          <w:tcPr>
            <w:shd w:fill="FFFFFF" w:val="clear"/>
          </w:tcPr>
          <w:p>
            <w:pPr>
              <w:jc w:val="left"/>
            </w:pPr>
            <w:r>
              <w:rPr>
                <w:color w:val="1A1A2E"/>
                <w:sz w:val="20"/>
                <w:szCs w:val="20"/>
              </w:rPr>
              <w:t xml:space="preserve">30-Day Rolling A/D</w:t>
            </w:r>
          </w:p>
        </w:tc>
        <w:tc>
          <w:tcPr>
            <w:shd w:fill="FFFFFF" w:val="clear"/>
          </w:tcPr>
          <w:p>
            <w:pPr>
              <w:jc w:val="center"/>
            </w:pPr>
            <w:r>
              <w:rPr>
                <w:color w:val="1A1A2E"/>
                <w:sz w:val="20"/>
                <w:szCs w:val="20"/>
              </w:rPr>
              <w:t xml:space="preserve">v_market_trend.rolling_30d_ad_pct</w:t>
            </w:r>
          </w:p>
        </w:tc>
        <w:tc>
          <w:tcPr>
            <w:shd w:fill="FFFFFF" w:val="clear"/>
          </w:tcPr>
          <w:p>
            <w:pPr>
              <w:jc w:val="center"/>
            </w:pPr>
            <w:r>
              <w:rPr>
                <w:color w:val="1A1A2E"/>
                <w:sz w:val="20"/>
                <w:szCs w:val="20"/>
              </w:rPr>
              <w:t xml:space="preserve">Sustained trend strength — smooths daily noise</w:t>
            </w:r>
          </w:p>
        </w:tc>
      </w:tr>
    </w:tbl>
    <w:p>
      <w:pPr>
        <w:spacing w:after="0" w:before="12"/>
      </w:pPr>
    </w:p>
    <w:p>
      <w:r>
        <w:br w:type="page"/>
      </w:r>
    </w:p>
    <w:p>
      <w:pPr>
        <w:pStyle w:val="Heading1"/>
        <w:pBdr>
          <w:bottom w:val="single" w:color="C8A951" w:sz="6" w:space="4"/>
        </w:pBdr>
        <w:spacing w:after="16" w:before="36"/>
        <w:rPr>
          <w:b/>
          <w:bCs/>
          <w:color w:val="1E3A5F"/>
          <w:sz w:val="40"/>
          <w:szCs w:val="40"/>
        </w:rPr>
      </w:pPr>
      <w:r>
        <w:t xml:space="preserve">3.  Page 1 — Landing / Home</w:t>
      </w:r>
    </w:p>
    <w:p>
      <w:pPr>
        <w:spacing w:after="8" w:before="8"/>
        <w:jc w:val="both"/>
      </w:pPr>
      <w:r>
        <w:rPr>
          <w:color w:val="1A1A2E"/>
          <w:sz w:val="22"/>
          <w:szCs w:val="22"/>
        </w:rPr>
        <w:t xml:space="preserve">The landing page is the executive summary of the entire pipeline. It must answer 'What is happening in the market right now?' in under 10 seconds. Keep visuals minimal — navigation, headline KPIs, and a single pulse chart.</w:t>
      </w:r>
    </w:p>
    <w:p>
      <w:pPr>
        <w:spacing w:after="0" w:before="8"/>
      </w:pPr>
    </w:p>
    <w:p>
      <w:pPr>
        <w:pStyle w:val="Heading2"/>
        <w:spacing w:after="12" w:before="28"/>
        <w:rPr>
          <w:b/>
          <w:bCs/>
          <w:color w:val="2E6DA4"/>
          <w:sz w:val="32"/>
          <w:szCs w:val="32"/>
        </w:rPr>
      </w:pPr>
      <w:r>
        <w:t xml:space="preserve">3.1  Headline KPI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D6E4F0" w:val="clear"/>
            <w:tcMar>
              <w:top w:type="dxa" w:w="144"/>
              <w:left w:type="dxa" w:w="172"/>
              <w:bottom w:type="dxa" w:w="144"/>
              <w:right w:type="dxa" w:w="172"/>
            </w:tcMar>
            <w:vAlign w:val="center"/>
          </w:tcPr>
          <w:p>
            <w:pPr>
              <w:jc w:val="center"/>
            </w:pPr>
            <w:r>
              <w:rPr>
                <w:b/>
                <w:bCs/>
                <w:color w:val="2E6DA4"/>
                <w:sz w:val="44"/>
                <w:szCs w:val="44"/>
              </w:rPr>
              <w:t xml:space="preserve">6,600+</w:t>
            </w:r>
          </w:p>
          <w:p>
            <w:pPr>
              <w:jc w:val="center"/>
            </w:pPr>
            <w:r>
              <w:rPr>
                <w:b/>
                <w:bCs/>
                <w:color w:val="1E3A5F"/>
                <w:sz w:val="20"/>
                <w:szCs w:val="20"/>
              </w:rPr>
              <w:t xml:space="preserve">Tickers Tracked</w:t>
            </w:r>
          </w:p>
          <w:p>
            <w:pPr>
              <w:jc w:val="center"/>
            </w:pPr>
            <w:r>
              <w:rPr>
                <w:color w:val="777777"/>
                <w:sz w:val="18"/>
                <w:szCs w:val="18"/>
              </w:rPr>
              <w:t xml:space="preserve">DISTINCTCOUNT dim_ticker</w:t>
            </w:r>
          </w:p>
        </w:tc>
        <w:tc>
          <w:tcPr>
            <w:shd w:fill="D6E4F0" w:val="clear"/>
            <w:tcMar>
              <w:top w:type="dxa" w:w="144"/>
              <w:left w:type="dxa" w:w="172"/>
              <w:bottom w:type="dxa" w:w="144"/>
              <w:right w:type="dxa" w:w="172"/>
            </w:tcMar>
            <w:vAlign w:val="center"/>
          </w:tcPr>
          <w:p>
            <w:pPr>
              <w:jc w:val="center"/>
            </w:pPr>
            <w:r>
              <w:rPr>
                <w:b/>
                <w:bCs/>
                <w:color w:val="2E6DA4"/>
                <w:sz w:val="44"/>
                <w:szCs w:val="44"/>
              </w:rPr>
              <w:t xml:space="preserve">Full History</w:t>
            </w:r>
          </w:p>
          <w:p>
            <w:pPr>
              <w:jc w:val="center"/>
            </w:pPr>
            <w:r>
              <w:rPr>
                <w:b/>
                <w:bCs/>
                <w:color w:val="1E3A5F"/>
                <w:sz w:val="20"/>
                <w:szCs w:val="20"/>
              </w:rPr>
              <w:t xml:space="preserve">Date Range</w:t>
            </w:r>
          </w:p>
          <w:p>
            <w:pPr>
              <w:jc w:val="center"/>
            </w:pPr>
            <w:r>
              <w:rPr>
                <w:color w:val="777777"/>
                <w:sz w:val="18"/>
                <w:szCs w:val="18"/>
              </w:rPr>
              <w:t xml:space="preserve">MIN/MAX dim_date</w:t>
            </w:r>
          </w:p>
        </w:tc>
        <w:tc>
          <w:tcPr>
            <w:shd w:fill="D6E4F0" w:val="clear"/>
            <w:tcMar>
              <w:top w:type="dxa" w:w="144"/>
              <w:left w:type="dxa" w:w="172"/>
              <w:bottom w:type="dxa" w:w="144"/>
              <w:right w:type="dxa" w:w="172"/>
            </w:tcMar>
            <w:vAlign w:val="center"/>
          </w:tcPr>
          <w:p>
            <w:pPr>
              <w:jc w:val="center"/>
            </w:pPr>
            <w:r>
              <w:rPr>
                <w:b/>
                <w:bCs/>
                <w:color w:val="2E6DA4"/>
                <w:sz w:val="44"/>
                <w:szCs w:val="44"/>
              </w:rPr>
              <w:t xml:space="preserve">Daily %</w:t>
            </w:r>
          </w:p>
          <w:p>
            <w:pPr>
              <w:jc w:val="center"/>
            </w:pPr>
            <w:r>
              <w:rPr>
                <w:b/>
                <w:bCs/>
                <w:color w:val="1E3A5F"/>
                <w:sz w:val="20"/>
                <w:szCs w:val="20"/>
              </w:rPr>
              <w:t xml:space="preserve">Market Avg Return</w:t>
            </w:r>
          </w:p>
          <w:p>
            <w:pPr>
              <w:jc w:val="center"/>
            </w:pPr>
            <w:r>
              <w:rPr>
                <w:color w:val="777777"/>
                <w:sz w:val="18"/>
                <w:szCs w:val="18"/>
              </w:rPr>
              <w:t xml:space="preserve">avg advance_decline_pct</w:t>
            </w:r>
          </w:p>
        </w:tc>
        <w:tc>
          <w:tcPr>
            <w:shd w:fill="D6E4F0" w:val="clear"/>
            <w:tcMar>
              <w:top w:type="dxa" w:w="144"/>
              <w:left w:type="dxa" w:w="172"/>
              <w:bottom w:type="dxa" w:w="144"/>
              <w:right w:type="dxa" w:w="172"/>
            </w:tcMar>
            <w:vAlign w:val="center"/>
          </w:tcPr>
          <w:p>
            <w:pPr>
              <w:jc w:val="center"/>
            </w:pPr>
            <w:r>
              <w:rPr>
                <w:b/>
                <w:bCs/>
                <w:color w:val="2E6DA4"/>
                <w:sz w:val="44"/>
                <w:szCs w:val="44"/>
              </w:rPr>
              <w:t xml:space="preserve">Ticker</w:t>
            </w:r>
          </w:p>
          <w:p>
            <w:pPr>
              <w:jc w:val="center"/>
            </w:pPr>
            <w:r>
              <w:rPr>
                <w:b/>
                <w:bCs/>
                <w:color w:val="1E3A5F"/>
                <w:sz w:val="20"/>
                <w:szCs w:val="20"/>
              </w:rPr>
              <w:t xml:space="preserve">Top Gainer Today</w:t>
            </w:r>
          </w:p>
          <w:p>
            <w:pPr>
              <w:jc w:val="center"/>
            </w:pPr>
            <w:r>
              <w:rPr>
                <w:color w:val="777777"/>
                <w:sz w:val="18"/>
                <w:szCs w:val="18"/>
              </w:rPr>
              <w:t xml:space="preserve">MAX pct_change</w:t>
            </w:r>
          </w:p>
        </w:tc>
      </w:tr>
    </w:tbl>
    <w:p>
      <w:pPr>
        <w:spacing w:after="0" w:before="12"/>
      </w:pPr>
    </w:p>
    <w:p>
      <w:pPr>
        <w:pStyle w:val="Heading2"/>
        <w:spacing w:after="12" w:before="28"/>
        <w:rPr>
          <w:b/>
          <w:bCs/>
          <w:color w:val="2E6DA4"/>
          <w:sz w:val="32"/>
          <w:szCs w:val="32"/>
        </w:rPr>
      </w:pPr>
      <w:r>
        <w:t xml:space="preserve">3.2  Insight: Market Pulse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shows</w:t>
            </w:r>
          </w:p>
          <w:p>
            <w:pPr>
              <w:spacing w:after="8" w:before="8"/>
              <w:jc w:val="both"/>
            </w:pPr>
            <w:r>
              <w:rPr>
                <w:color w:val="1A1A2E"/>
                <w:sz w:val="22"/>
                <w:szCs w:val="22"/>
              </w:rPr>
              <w:t xml:space="preserve">Four headline numbers give the viewer immediate situational awareness: how many stocks are being tracked, the historical coverage of the dataset, whether the overall market moved up or down (using the advance/decline ratio from daily_market_breadth), and which single stock performed best.</w:t>
            </w:r>
          </w:p>
        </w:tc>
      </w:tr>
    </w:tbl>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FF3CD" w:val="clear"/>
            <w:tcMar>
              <w:top w:type="dxa" w:w="172"/>
              <w:left w:type="dxa" w:w="216"/>
              <w:bottom w:type="dxa" w:w="172"/>
              <w:right w:type="dxa" w:w="216"/>
            </w:tcMar>
          </w:tcPr>
          <w:p>
            <w:pPr>
              <w:spacing w:after="8" w:before="8"/>
            </w:pPr>
            <w:r>
              <w:rPr>
                <w:b/>
                <w:bCs/>
                <w:color w:val="1E3A5F"/>
                <w:sz w:val="26"/>
                <w:szCs w:val="26"/>
              </w:rPr>
              <w:t xml:space="preserve">Why it matters</w:t>
            </w:r>
          </w:p>
          <w:p>
            <w:pPr>
              <w:spacing w:after="6" w:before="6"/>
            </w:pPr>
            <w:r>
              <w:rPr>
                <w:b/>
                <w:bCs/>
                <w:color w:val="1A7A4A"/>
                <w:sz w:val="22"/>
                <w:szCs w:val="22"/>
              </w:rPr>
              <w:t xml:space="preserve">Market Health:  </w:t>
            </w:r>
            <w:r>
              <w:rPr>
                <w:color w:val="1A1A2E"/>
                <w:sz w:val="22"/>
                <w:szCs w:val="22"/>
              </w:rPr>
              <w:t xml:space="preserve">An advance/decline ratio above 60% is a reliable signal of broad market strength — not just a few large-cap stocks pulling the index up. This is a critical distinction. If only 40% of stocks are advancing but the index is up, the rally is narrow and fragile.</w:t>
            </w:r>
          </w:p>
          <w:p>
            <w:pPr>
              <w:spacing w:after="6" w:before="6"/>
            </w:pPr>
            <w:r>
              <w:rPr>
                <w:b/>
                <w:bCs/>
                <w:color w:val="C0392B"/>
                <w:sz w:val="22"/>
                <w:szCs w:val="22"/>
              </w:rPr>
              <w:t xml:space="preserve">Concentration Risk:  </w:t>
            </w:r>
            <w:r>
              <w:rPr>
                <w:color w:val="1A1A2E"/>
                <w:sz w:val="22"/>
                <w:szCs w:val="22"/>
              </w:rPr>
              <w:t xml:space="preserve">If the top gainer card shows the same 2–3 tickers day after day (typically meme stocks or nano-caps), it signals speculative rather than fundamental market movement. Alert risk teams.</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Set a daily email alert (via Power BI subscription) to the portfolio team when the advance/decline ratio drops below 45% for 3 consecutive days — this historically precedes broader market corrections.</w:t>
      </w:r>
    </w:p>
    <w:p>
      <w:pPr>
        <w:pStyle w:val="ListParagraph"/>
        <w:numPr>
          <w:ilvl w:val="0"/>
          <w:numId w:val="1"/>
        </w:numPr>
        <w:spacing w:after="4" w:before="4"/>
      </w:pPr>
      <w:r>
        <w:rPr>
          <w:color w:val="1A1A2E"/>
          <w:sz w:val="22"/>
          <w:szCs w:val="22"/>
        </w:rPr>
        <w:t xml:space="preserve">Pin the 'Top Gainer Today' card to a Teams channel for morning briefings. Automate via Power Automate + Power BI data alert trigger.</w:t>
      </w:r>
    </w:p>
    <w:p>
      <w:pPr>
        <w:pStyle w:val="ListParagraph"/>
        <w:numPr>
          <w:ilvl w:val="0"/>
          <w:numId w:val="1"/>
        </w:numPr>
        <w:spacing w:after="4" w:before="4"/>
      </w:pPr>
      <w:r>
        <w:rPr>
          <w:color w:val="1A1A2E"/>
          <w:sz w:val="22"/>
          <w:szCs w:val="22"/>
        </w:rPr>
        <w:t xml:space="preserve">Add a secondary KPI: 'Stocks at 52W High' count (derived from v_full_stock_profile). Rising count = bull market confirmation; falling count despite index gains = breadth deterioration warning.</w:t>
      </w:r>
    </w:p>
    <w:p>
      <w:pPr>
        <w:spacing w:after="0" w:before="12"/>
      </w:pPr>
    </w:p>
    <w:p>
      <w:pPr>
        <w:pStyle w:val="Heading2"/>
        <w:spacing w:after="12" w:before="28"/>
        <w:rPr>
          <w:b/>
          <w:bCs/>
          <w:color w:val="2E6DA4"/>
          <w:sz w:val="32"/>
          <w:szCs w:val="32"/>
        </w:rPr>
      </w:pPr>
      <w:r>
        <w:t xml:space="preserve">3.3  Navigation Architecture</w:t>
      </w:r>
    </w:p>
    <w:p>
      <w:pPr>
        <w:spacing w:after="8" w:before="8"/>
        <w:jc w:val="both"/>
      </w:pPr>
      <w:r>
        <w:rPr>
          <w:color w:val="1A1A2E"/>
          <w:sz w:val="22"/>
          <w:szCs w:val="22"/>
        </w:rPr>
        <w:t xml:space="preserve">Use Power BI Bookmarks + Button objects (not page tabs) for navigation. This gives full control over the visual state each button restores. Recommended button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1E3A5F" w:val="clear"/>
            <w:vAlign w:val="center"/>
          </w:tcPr>
          <w:p>
            <w:pPr>
              <w:jc w:val="center"/>
            </w:pPr>
            <w:r>
              <w:rPr>
                <w:b/>
                <w:bCs/>
                <w:color w:val="FFFFFF"/>
                <w:sz w:val="20"/>
                <w:szCs w:val="20"/>
              </w:rPr>
              <w:t xml:space="preserve">Button Label</w:t>
            </w:r>
          </w:p>
        </w:tc>
        <w:tc>
          <w:tcPr>
            <w:shd w:fill="1E3A5F" w:val="clear"/>
            <w:vAlign w:val="center"/>
          </w:tcPr>
          <w:p>
            <w:pPr>
              <w:jc w:val="center"/>
            </w:pPr>
            <w:r>
              <w:rPr>
                <w:b/>
                <w:bCs/>
                <w:color w:val="FFFFFF"/>
                <w:sz w:val="20"/>
                <w:szCs w:val="20"/>
              </w:rPr>
              <w:t xml:space="preserve">Destination Page</w:t>
            </w:r>
          </w:p>
        </w:tc>
        <w:tc>
          <w:tcPr>
            <w:shd w:fill="1E3A5F" w:val="clear"/>
            <w:vAlign w:val="center"/>
          </w:tcPr>
          <w:p>
            <w:pPr>
              <w:jc w:val="center"/>
            </w:pPr>
            <w:r>
              <w:rPr>
                <w:b/>
                <w:bCs/>
                <w:color w:val="FFFFFF"/>
                <w:sz w:val="20"/>
                <w:szCs w:val="20"/>
              </w:rPr>
              <w:t xml:space="preserve">Icon / Color</w:t>
            </w:r>
          </w:p>
        </w:tc>
      </w:tr>
      <w:tr>
        <w:tc>
          <w:tcPr>
            <w:shd w:fill="FFFFFF" w:val="clear"/>
          </w:tcPr>
          <w:p>
            <w:pPr>
              <w:jc w:val="left"/>
            </w:pPr>
            <w:r>
              <w:rPr>
                <w:color w:val="1A1A2E"/>
                <w:sz w:val="20"/>
                <w:szCs w:val="20"/>
              </w:rPr>
              <w:t xml:space="preserve">📊  Market Overview</w:t>
            </w:r>
          </w:p>
        </w:tc>
        <w:tc>
          <w:tcPr>
            <w:shd w:fill="FFFFFF" w:val="clear"/>
          </w:tcPr>
          <w:p>
            <w:pPr>
              <w:jc w:val="center"/>
            </w:pPr>
            <w:r>
              <w:rPr>
                <w:color w:val="1A1A2E"/>
                <w:sz w:val="20"/>
                <w:szCs w:val="20"/>
              </w:rPr>
              <w:t xml:space="preserve">Page 2</w:t>
            </w:r>
          </w:p>
        </w:tc>
        <w:tc>
          <w:tcPr>
            <w:shd w:fill="FFFFFF" w:val="clear"/>
          </w:tcPr>
          <w:p>
            <w:pPr>
              <w:jc w:val="center"/>
            </w:pPr>
            <w:r>
              <w:rPr>
                <w:color w:val="1A1A2E"/>
                <w:sz w:val="20"/>
                <w:szCs w:val="20"/>
              </w:rPr>
              <w:t xml:space="preserve">Dark Blue background, white text</w:t>
            </w:r>
          </w:p>
        </w:tc>
      </w:tr>
      <w:tr>
        <w:tc>
          <w:tcPr>
            <w:shd w:fill="F4F6F9" w:val="clear"/>
          </w:tcPr>
          <w:p>
            <w:pPr>
              <w:jc w:val="left"/>
            </w:pPr>
            <w:r>
              <w:rPr>
                <w:color w:val="1A1A2E"/>
                <w:sz w:val="20"/>
                <w:szCs w:val="20"/>
              </w:rPr>
              <w:t xml:space="preserve">🔍  Ticker Deep-Dive</w:t>
            </w:r>
          </w:p>
        </w:tc>
        <w:tc>
          <w:tcPr>
            <w:shd w:fill="F4F6F9" w:val="clear"/>
          </w:tcPr>
          <w:p>
            <w:pPr>
              <w:jc w:val="center"/>
            </w:pPr>
            <w:r>
              <w:rPr>
                <w:color w:val="1A1A2E"/>
                <w:sz w:val="20"/>
                <w:szCs w:val="20"/>
              </w:rPr>
              <w:t xml:space="preserve">Page 3</w:t>
            </w:r>
          </w:p>
        </w:tc>
        <w:tc>
          <w:tcPr>
            <w:shd w:fill="F4F6F9" w:val="clear"/>
          </w:tcPr>
          <w:p>
            <w:pPr>
              <w:jc w:val="center"/>
            </w:pPr>
            <w:r>
              <w:rPr>
                <w:color w:val="1A1A2E"/>
                <w:sz w:val="20"/>
                <w:szCs w:val="20"/>
              </w:rPr>
              <w:t xml:space="preserve">Mid Blue background, white text</w:t>
            </w:r>
          </w:p>
        </w:tc>
      </w:tr>
      <w:tr>
        <w:tc>
          <w:tcPr>
            <w:shd w:fill="FFFFFF" w:val="clear"/>
          </w:tcPr>
          <w:p>
            <w:pPr>
              <w:jc w:val="left"/>
            </w:pPr>
            <w:r>
              <w:rPr>
                <w:color w:val="1A1A2E"/>
                <w:sz w:val="20"/>
                <w:szCs w:val="20"/>
              </w:rPr>
              <w:t xml:space="preserve">📈  Volume &amp; Volatility</w:t>
            </w:r>
          </w:p>
        </w:tc>
        <w:tc>
          <w:tcPr>
            <w:shd w:fill="FFFFFF" w:val="clear"/>
          </w:tcPr>
          <w:p>
            <w:pPr>
              <w:jc w:val="center"/>
            </w:pPr>
            <w:r>
              <w:rPr>
                <w:color w:val="1A1A2E"/>
                <w:sz w:val="20"/>
                <w:szCs w:val="20"/>
              </w:rPr>
              <w:t xml:space="preserve">Page 4</w:t>
            </w:r>
          </w:p>
        </w:tc>
        <w:tc>
          <w:tcPr>
            <w:shd w:fill="FFFFFF" w:val="clear"/>
          </w:tcPr>
          <w:p>
            <w:pPr>
              <w:jc w:val="center"/>
            </w:pPr>
            <w:r>
              <w:rPr>
                <w:color w:val="1A1A2E"/>
                <w:sz w:val="20"/>
                <w:szCs w:val="20"/>
              </w:rPr>
              <w:t xml:space="preserve">Teal/green background, white text</w:t>
            </w:r>
          </w:p>
        </w:tc>
      </w:tr>
      <w:tr>
        <w:tc>
          <w:tcPr>
            <w:shd w:fill="F4F6F9" w:val="clear"/>
          </w:tcPr>
          <w:p>
            <w:pPr>
              <w:jc w:val="left"/>
            </w:pPr>
            <w:r>
              <w:rPr>
                <w:color w:val="1A1A2E"/>
                <w:sz w:val="20"/>
                <w:szCs w:val="20"/>
              </w:rPr>
              <w:t xml:space="preserve">🏠  Home</w:t>
            </w:r>
          </w:p>
        </w:tc>
        <w:tc>
          <w:tcPr>
            <w:shd w:fill="F4F6F9" w:val="clear"/>
          </w:tcPr>
          <w:p>
            <w:pPr>
              <w:jc w:val="center"/>
            </w:pPr>
            <w:r>
              <w:rPr>
                <w:color w:val="1A1A2E"/>
                <w:sz w:val="20"/>
                <w:szCs w:val="20"/>
              </w:rPr>
              <w:t xml:space="preserve">Page 1</w:t>
            </w:r>
          </w:p>
        </w:tc>
        <w:tc>
          <w:tcPr>
            <w:shd w:fill="F4F6F9" w:val="clear"/>
          </w:tcPr>
          <w:p>
            <w:pPr>
              <w:jc w:val="center"/>
            </w:pPr>
            <w:r>
              <w:rPr>
                <w:color w:val="1A1A2E"/>
                <w:sz w:val="20"/>
                <w:szCs w:val="20"/>
              </w:rPr>
              <w:t xml:space="preserve">Gold background, dark text</w:t>
            </w:r>
          </w:p>
        </w:tc>
      </w:tr>
    </w:tbl>
    <w:p>
      <w:pPr>
        <w:spacing w:after="0" w:before="12"/>
      </w:pPr>
    </w:p>
    <w:p>
      <w:r>
        <w:br w:type="page"/>
      </w:r>
    </w:p>
    <w:p>
      <w:pPr>
        <w:pStyle w:val="Heading1"/>
        <w:pBdr>
          <w:bottom w:val="single" w:color="C8A951" w:sz="6" w:space="4"/>
        </w:pBdr>
        <w:spacing w:after="16" w:before="36"/>
        <w:rPr>
          <w:b/>
          <w:bCs/>
          <w:color w:val="1E3A5F"/>
          <w:sz w:val="40"/>
          <w:szCs w:val="40"/>
        </w:rPr>
      </w:pPr>
      <w:r>
        <w:t xml:space="preserve">4.  Page 2 — Market Overview</w:t>
      </w:r>
    </w:p>
    <w:p>
      <w:pPr>
        <w:spacing w:after="8" w:before="8"/>
        <w:jc w:val="both"/>
      </w:pPr>
      <w:r>
        <w:rPr>
          <w:color w:val="1A1A2E"/>
          <w:sz w:val="22"/>
          <w:szCs w:val="22"/>
        </w:rPr>
        <w:t xml:space="preserve">This is the most data-dense page. Its audience is portfolio managers and market analysts who need a daily market scan without opening a Bloomberg terminal. Every visual answers a different question about market-wide dynamics.</w:t>
      </w:r>
    </w:p>
    <w:p>
      <w:pPr>
        <w:spacing w:after="0" w:before="8"/>
      </w:pPr>
    </w:p>
    <w:p>
      <w:pPr>
        <w:pStyle w:val="Heading2"/>
        <w:spacing w:after="12" w:before="28"/>
        <w:rPr>
          <w:b/>
          <w:bCs/>
          <w:color w:val="2E6DA4"/>
          <w:sz w:val="32"/>
          <w:szCs w:val="32"/>
        </w:rPr>
      </w:pPr>
      <w:r>
        <w:t xml:space="preserve">4.1  Visual 1 — Normalised Price Trend (Line Chart)</w:t>
      </w:r>
    </w:p>
    <w:p>
      <w:pPr>
        <w:pStyle w:val="Heading3"/>
        <w:spacing w:after="8" w:before="20"/>
        <w:rPr>
          <w:b/>
          <w:bCs/>
          <w:color w:val="1E3A5F"/>
          <w:sz w:val="26"/>
          <w:szCs w:val="26"/>
        </w:rPr>
      </w:pPr>
      <w:r>
        <w:t xml:space="preserve">Data source:  stock_summary  +  monthly_performance</w:t>
      </w:r>
    </w:p>
    <w:p>
      <w:pPr>
        <w:spacing w:after="8" w:before="8"/>
        <w:jc w:val="both"/>
      </w:pPr>
      <w:r>
        <w:rPr>
          <w:color w:val="1A1A2E"/>
          <w:sz w:val="22"/>
          <w:szCs w:val="22"/>
        </w:rPr>
        <w:t xml:space="preserve">Each ticker's closing price is indexed to 100 at the start of the selected period. The result is a single chart where all tickers are comparable regardless of absolute price level (comparing a $3 stock to a $400 stock is meaningful after normalisation).</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Pattern:  </w:t>
            </w:r>
            <w:r>
              <w:rPr>
                <w:color w:val="1A1A2E"/>
                <w:sz w:val="22"/>
                <w:szCs w:val="22"/>
              </w:rPr>
              <w:t xml:space="preserve">Divergence patterns: when most lines cluster together but 2–3 lines shoot upward, those tickers are experiencing idiosyncratic (company-specific) gains, not riding market momentum. This separates alpha from beta.</w:t>
            </w:r>
          </w:p>
          <w:p>
            <w:pPr>
              <w:spacing w:after="6" w:before="6"/>
            </w:pPr>
            <w:r>
              <w:rPr>
                <w:b/>
                <w:bCs/>
                <w:color w:val="2E6DA4"/>
                <w:sz w:val="22"/>
                <w:szCs w:val="22"/>
              </w:rPr>
              <w:t xml:space="preserve">🔵 Correlation:  </w:t>
            </w:r>
            <w:r>
              <w:rPr>
                <w:color w:val="1A1A2E"/>
                <w:sz w:val="22"/>
                <w:szCs w:val="22"/>
              </w:rPr>
              <w:t xml:space="preserve">Correlation clusters: if most lines move nearly identically, the portfolio has high correlation — sector concentration risk is elevated. True diversification means lines diverging in both directions.</w:t>
            </w:r>
          </w:p>
          <w:p>
            <w:pPr>
              <w:spacing w:after="6" w:before="6"/>
            </w:pPr>
            <w:r>
              <w:rPr>
                <w:b/>
                <w:bCs/>
                <w:color w:val="2E6DA4"/>
                <w:sz w:val="22"/>
                <w:szCs w:val="22"/>
              </w:rPr>
              <w:t xml:space="preserve">🔵 Regimes:  </w:t>
            </w:r>
            <w:r>
              <w:rPr>
                <w:color w:val="1A1A2E"/>
                <w:sz w:val="22"/>
                <w:szCs w:val="22"/>
              </w:rPr>
              <w:t xml:space="preserve">Regime changes: a sudden drop in the cluster median followed by recovery = market correction + recovery. Multiple lines that never recover = permanent value destruction (common in biotech and SPAC sectors).</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If 80%+ of tickers show synchronised 15%+ drawdowns over any 30-day window, trigger a 'market stress' report automatically. Power BI alert threshold: rolling 30-day return &lt; -15% for &gt;80% of stocks in dim_ticker.</w:t>
      </w:r>
    </w:p>
    <w:p>
      <w:pPr>
        <w:pStyle w:val="ListParagraph"/>
        <w:numPr>
          <w:ilvl w:val="0"/>
          <w:numId w:val="1"/>
        </w:numPr>
        <w:spacing w:after="4" w:before="4"/>
      </w:pPr>
      <w:r>
        <w:rPr>
          <w:color w:val="1A1A2E"/>
          <w:sz w:val="22"/>
          <w:szCs w:val="22"/>
        </w:rPr>
        <w:t xml:space="preserve">Use this chart as the core of a weekly 'Market Health Report' exported as PDF via Power BI Publish to Web or email subscription. Include a 3-sentence written summary (AI-generated from the KPI values) for non-technical stakeholders.</w:t>
      </w:r>
    </w:p>
    <w:p>
      <w:pPr>
        <w:pStyle w:val="ListParagraph"/>
        <w:numPr>
          <w:ilvl w:val="0"/>
          <w:numId w:val="1"/>
        </w:numPr>
        <w:spacing w:after="4" w:before="4"/>
      </w:pPr>
      <w:r>
        <w:rPr>
          <w:color w:val="1A1A2E"/>
          <w:sz w:val="22"/>
          <w:szCs w:val="22"/>
        </w:rPr>
        <w:t xml:space="preserve">Add a 'benchmark line' (e.g. S&amp;P 500 synthetic index from your top 50 holdings by volume). Any ticker consistently below the benchmark for 90+ days is a candidate for review or exit.</w:t>
      </w:r>
    </w:p>
    <w:p>
      <w:pPr>
        <w:spacing w:after="0" w:before="12"/>
      </w:pPr>
    </w:p>
    <w:p>
      <w:pPr>
        <w:pStyle w:val="Heading2"/>
        <w:spacing w:after="12" w:before="28"/>
        <w:rPr>
          <w:b/>
          <w:bCs/>
          <w:color w:val="2E6DA4"/>
          <w:sz w:val="32"/>
          <w:szCs w:val="32"/>
        </w:rPr>
      </w:pPr>
      <w:r>
        <w:t xml:space="preserve">4.2  Visual 2 — Period Return % by Ticker (Bar Chart)</w:t>
      </w:r>
    </w:p>
    <w:p>
      <w:pPr>
        <w:pStyle w:val="Heading3"/>
        <w:spacing w:after="8" w:before="20"/>
        <w:rPr>
          <w:b/>
          <w:bCs/>
          <w:color w:val="1E3A5F"/>
          <w:sz w:val="26"/>
          <w:szCs w:val="26"/>
        </w:rPr>
      </w:pPr>
      <w:r>
        <w:t xml:space="preserve">Data source:  top_performers  (pct_change, direction)</w:t>
      </w:r>
    </w:p>
    <w:p>
      <w:pPr>
        <w:spacing w:after="8" w:before="8"/>
        <w:jc w:val="both"/>
      </w:pPr>
      <w:r>
        <w:rPr>
          <w:color w:val="1A1A2E"/>
          <w:sz w:val="22"/>
          <w:szCs w:val="22"/>
        </w:rPr>
        <w:t xml:space="preserve">Horizontal bar chart, sorted descending, coloured green (GAINER) or red (LOSER) by the 'direction' field. This is the clearest single view of who won and who lost over the selected period.</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Distribution Shape:  </w:t>
            </w:r>
            <w:r>
              <w:rPr>
                <w:color w:val="1A1A2E"/>
                <w:sz w:val="22"/>
                <w:szCs w:val="22"/>
              </w:rPr>
              <w:t xml:space="preserve">The magnitude of the bar relative to its peers reveals whether returns are normally distributed or whether a few outliers dominate. A healthy market shows a rough bell curve of returns. Extreme right-skew (1–2 stocks with 500%+ returns) typically signals speculation, not fundamental quality.</w:t>
            </w:r>
          </w:p>
          <w:p>
            <w:pPr>
              <w:spacing w:after="6" w:before="6"/>
            </w:pPr>
            <w:r>
              <w:rPr>
                <w:b/>
                <w:bCs/>
                <w:color w:val="2E6DA4"/>
                <w:sz w:val="22"/>
                <w:szCs w:val="22"/>
              </w:rPr>
              <w:t xml:space="preserve">🔵 Flat Performers:  </w:t>
            </w:r>
            <w:r>
              <w:rPr>
                <w:color w:val="1A1A2E"/>
                <w:sz w:val="22"/>
                <w:szCs w:val="22"/>
              </w:rPr>
              <w:t xml:space="preserve">Stocks with pct_change near 0 (FLAT direction) deserve attention — they may be value traps (stagnant despite market rally) or safe havens (stable during market decline). Context from the date range slicer determines which.</w:t>
            </w:r>
          </w:p>
          <w:p>
            <w:pPr>
              <w:spacing w:after="6" w:before="6"/>
            </w:pPr>
            <w:r>
              <w:rPr>
                <w:b/>
                <w:bCs/>
                <w:color w:val="C0392B"/>
                <w:sz w:val="22"/>
                <w:szCs w:val="22"/>
              </w:rPr>
              <w:t xml:space="preserve">Skewness Risk:  </w:t>
            </w:r>
            <w:r>
              <w:rPr>
                <w:color w:val="1A1A2E"/>
                <w:sz w:val="22"/>
                <w:szCs w:val="22"/>
              </w:rPr>
              <w:t xml:space="preserve">A large number of LOSERs (red bars) outnumbering GAINERs, even if the average return is positive, means the market return is being driven by a small number of very large gainers. This is called 'skewness' and is a risk signal for equal-weighted portfolios.</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Rank the top 10 GAINERs and bottom 10 LOSERs quarterly. For GAINERs: assess whether the return is supported by increasing volume (use volume_leaders) — high return + low volume = price manipulation risk. For LOSERs: check dividend_analysis — a losing stock that pays steady dividends may be a buy-the-dip opportunity.</w:t>
      </w:r>
    </w:p>
    <w:p>
      <w:pPr>
        <w:pStyle w:val="ListParagraph"/>
        <w:numPr>
          <w:ilvl w:val="0"/>
          <w:numId w:val="1"/>
        </w:numPr>
        <w:spacing w:after="4" w:before="4"/>
      </w:pPr>
      <w:r>
        <w:rPr>
          <w:color w:val="1A1A2E"/>
          <w:sz w:val="22"/>
          <w:szCs w:val="22"/>
        </w:rPr>
        <w:t xml:space="preserve">Create a Power BI conditional formatting rule: any bar exceeding +200% or below -50% gets a data label in bold red/gold. Extreme values trigger manual review by the risk committee.</w:t>
      </w:r>
    </w:p>
    <w:p>
      <w:pPr>
        <w:pStyle w:val="ListParagraph"/>
        <w:numPr>
          <w:ilvl w:val="0"/>
          <w:numId w:val="1"/>
        </w:numPr>
        <w:spacing w:after="4" w:before="4"/>
      </w:pPr>
      <w:r>
        <w:rPr>
          <w:color w:val="1A1A2E"/>
          <w:sz w:val="22"/>
          <w:szCs w:val="22"/>
        </w:rPr>
        <w:t xml:space="preserve">Export this chart monthly as a 'Performance League Table' PDF, distributed to investment committee members.</w:t>
      </w:r>
    </w:p>
    <w:p>
      <w:pPr>
        <w:spacing w:after="0" w:before="12"/>
      </w:pPr>
    </w:p>
    <w:p>
      <w:pPr>
        <w:pStyle w:val="Heading2"/>
        <w:spacing w:after="12" w:before="28"/>
        <w:rPr>
          <w:b/>
          <w:bCs/>
          <w:color w:val="2E6DA4"/>
          <w:sz w:val="32"/>
          <w:szCs w:val="32"/>
        </w:rPr>
      </w:pPr>
      <w:r>
        <w:t xml:space="preserve">4.3  Visual 3 — Market Heatmap (Treemap or Matrix)</w:t>
      </w:r>
    </w:p>
    <w:p>
      <w:pPr>
        <w:pStyle w:val="Heading3"/>
        <w:spacing w:after="8" w:before="20"/>
        <w:rPr>
          <w:b/>
          <w:bCs/>
          <w:color w:val="1E3A5F"/>
          <w:sz w:val="26"/>
          <w:szCs w:val="26"/>
        </w:rPr>
      </w:pPr>
      <w:r>
        <w:t xml:space="preserve">Data source:  daily_market_breadth  +  top_performers</w:t>
      </w:r>
    </w:p>
    <w:p>
      <w:pPr>
        <w:spacing w:after="8" w:before="8"/>
        <w:jc w:val="both"/>
      </w:pPr>
      <w:r>
        <w:rPr>
          <w:color w:val="1A1A2E"/>
          <w:sz w:val="22"/>
          <w:szCs w:val="22"/>
        </w:rPr>
        <w:t xml:space="preserve">One rectangle per ticker, sized by market presence (e.g., total_volume from volume_leaders), coloured by daily_return_pct (green-to-red gradient). This is the 'Bloomberg heat map' equivalent — immediate visual parsing of where money is moving.</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Money Flow:  </w:t>
            </w:r>
            <w:r>
              <w:rPr>
                <w:color w:val="1A1A2E"/>
                <w:sz w:val="22"/>
                <w:szCs w:val="22"/>
              </w:rPr>
              <w:t xml:space="preserve">Large green rectangles = high-volume, high-return stocks. These are the engines of market movement. Large red rectangles = significant money is leaving these positions.</w:t>
            </w:r>
          </w:p>
          <w:p>
            <w:pPr>
              <w:spacing w:after="6" w:before="6"/>
            </w:pPr>
            <w:r>
              <w:rPr>
                <w:b/>
                <w:bCs/>
                <w:color w:val="2E6DA4"/>
                <w:sz w:val="22"/>
                <w:szCs w:val="22"/>
              </w:rPr>
              <w:t xml:space="preserve">🔵 Sector Rotation:  </w:t>
            </w:r>
            <w:r>
              <w:rPr>
                <w:color w:val="1A1A2E"/>
                <w:sz w:val="22"/>
                <w:szCs w:val="22"/>
              </w:rPr>
              <w:t xml:space="preserve">Clusters of same-colour small rectangles indicate sector rotation — many stocks in a sector all moving the same direction simultaneously.</w:t>
            </w:r>
          </w:p>
          <w:p>
            <w:pPr>
              <w:spacing w:after="6" w:before="6"/>
            </w:pPr>
            <w:r>
              <w:rPr>
                <w:b/>
                <w:bCs/>
                <w:color w:val="2E6DA4"/>
                <w:sz w:val="22"/>
                <w:szCs w:val="22"/>
              </w:rPr>
              <w:t xml:space="preserve">🔵 Market Indecision:  </w:t>
            </w:r>
            <w:r>
              <w:rPr>
                <w:color w:val="1A1A2E"/>
                <w:sz w:val="22"/>
                <w:szCs w:val="22"/>
              </w:rPr>
              <w:t xml:space="preserve">A treemap that is mostly grey/neutral with a few extreme green/red outliers = low-conviction, indecisive market. This often precedes high-volatility periods.</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Add a sector slicer (from dim_sector if available, or manually tagged in dim_ticker). When a full sector turns red on the heatmap, this is an early warning for sector-wide headwinds — reduce sector exposure before it cascades.</w:t>
      </w:r>
    </w:p>
    <w:p>
      <w:pPr>
        <w:pStyle w:val="ListParagraph"/>
        <w:numPr>
          <w:ilvl w:val="0"/>
          <w:numId w:val="1"/>
        </w:numPr>
        <w:spacing w:after="4" w:before="4"/>
      </w:pPr>
      <w:r>
        <w:rPr>
          <w:color w:val="1A1A2E"/>
          <w:sz w:val="22"/>
          <w:szCs w:val="22"/>
        </w:rPr>
        <w:t xml:space="preserve">Set a Power BI alert: if 5+ high-volume stocks (total_volume &gt; 75th percentile) all show negative return on the same day, send a 'market stress' push notification to portfolio managers via Power BI Mobile.</w:t>
      </w:r>
    </w:p>
    <w:p>
      <w:pPr>
        <w:spacing w:after="0" w:before="12"/>
      </w:pPr>
    </w:p>
    <w:p>
      <w:pPr>
        <w:pStyle w:val="Heading2"/>
        <w:spacing w:after="12" w:before="28"/>
        <w:rPr>
          <w:b/>
          <w:bCs/>
          <w:color w:val="2E6DA4"/>
          <w:sz w:val="32"/>
          <w:szCs w:val="32"/>
        </w:rPr>
      </w:pPr>
      <w:r>
        <w:t xml:space="preserve">4.4  Visual 4 — Advance/Decline Trend (Line Chart)</w:t>
      </w:r>
    </w:p>
    <w:p>
      <w:pPr>
        <w:pStyle w:val="Heading3"/>
        <w:spacing w:after="8" w:before="20"/>
        <w:rPr>
          <w:b/>
          <w:bCs/>
          <w:color w:val="1E3A5F"/>
          <w:sz w:val="26"/>
          <w:szCs w:val="26"/>
        </w:rPr>
      </w:pPr>
      <w:r>
        <w:t xml:space="preserve">Data source:  v_market_trend  (advance_decline_pct, rolling_30d_ad_pct)</w:t>
      </w:r>
    </w:p>
    <w:p>
      <w:pPr>
        <w:spacing w:after="8" w:before="8"/>
        <w:jc w:val="both"/>
      </w:pPr>
      <w:r>
        <w:rPr>
          <w:color w:val="1A1A2E"/>
          <w:sz w:val="22"/>
          <w:szCs w:val="22"/>
        </w:rPr>
        <w:t xml:space="preserve">Two lines: the daily advance/decline percentage and its 30-day rolling average from v_market_trend. The 50% line is a reference threshold drawn as a constant line.</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Bull Signal:  </w:t>
            </w:r>
            <w:r>
              <w:rPr>
                <w:color w:val="1A1A2E"/>
                <w:sz w:val="22"/>
                <w:szCs w:val="22"/>
              </w:rPr>
              <w:t xml:space="preserve">When the rolling 30d A/D stays above 55% for 20+ consecutive days, the market is in a confirmed uptrend. This is the most reliable breadth-based bull market indicator.</w:t>
            </w:r>
          </w:p>
          <w:p>
            <w:pPr>
              <w:spacing w:after="6" w:before="6"/>
            </w:pPr>
            <w:r>
              <w:rPr>
                <w:b/>
                <w:bCs/>
                <w:color w:val="2E6DA4"/>
                <w:sz w:val="22"/>
                <w:szCs w:val="22"/>
              </w:rPr>
              <w:t xml:space="preserve">🔵 Bear Warning:  </w:t>
            </w:r>
            <w:r>
              <w:rPr>
                <w:color w:val="1A1A2E"/>
                <w:sz w:val="22"/>
                <w:szCs w:val="22"/>
              </w:rPr>
              <w:t xml:space="preserve">When the rolling A/D drops below 45% and stays there, market internals are deteriorating even if the headline index holds up. This is a classic 'warning before the crash' signal.</w:t>
            </w:r>
          </w:p>
          <w:p>
            <w:pPr>
              <w:spacing w:after="6" w:before="6"/>
            </w:pPr>
            <w:r>
              <w:rPr>
                <w:b/>
                <w:bCs/>
                <w:color w:val="2E6DA4"/>
                <w:sz w:val="22"/>
                <w:szCs w:val="22"/>
              </w:rPr>
              <w:t xml:space="preserve">🔵 Resilience Test:  </w:t>
            </w:r>
            <w:r>
              <w:rPr>
                <w:color w:val="1A1A2E"/>
                <w:sz w:val="22"/>
                <w:szCs w:val="22"/>
              </w:rPr>
              <w:t xml:space="preserve">Sharp V-shaped drops followed by fast recovery in the A/D ratio = market volatility spikes (e.g., geopolitical events, Fed announcements). The speed of recovery indicates market resilience.</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Use the 30d rolling A/D ratio as an automated risk signal: when it crosses below 45%, increase cash allocation or add defensive positions. When it crosses back above 55%, re-enter risk assets. Back-test this signal using the historical data in daily_market_breadth.</w:t>
      </w:r>
    </w:p>
    <w:p>
      <w:pPr>
        <w:pStyle w:val="ListParagraph"/>
        <w:numPr>
          <w:ilvl w:val="0"/>
          <w:numId w:val="1"/>
        </w:numPr>
        <w:spacing w:after="4" w:before="4"/>
      </w:pPr>
      <w:r>
        <w:rPr>
          <w:color w:val="1A1A2E"/>
          <w:sz w:val="22"/>
          <w:szCs w:val="22"/>
        </w:rPr>
        <w:t xml:space="preserve">Add annotation markers on the chart for known market events (e.g., FOMC meetings, earnings seasons). Power BI supports custom tooltips — configure them to display the top 3 advancing and top 3 declining tickers on any selected date.</w:t>
      </w:r>
    </w:p>
    <w:p>
      <w:pPr>
        <w:spacing w:after="0" w:before="12"/>
      </w:pPr>
    </w:p>
    <w:p>
      <w:r>
        <w:br w:type="page"/>
      </w:r>
    </w:p>
    <w:p>
      <w:pPr>
        <w:pStyle w:val="Heading1"/>
        <w:pBdr>
          <w:bottom w:val="single" w:color="C8A951" w:sz="6" w:space="4"/>
        </w:pBdr>
        <w:spacing w:after="16" w:before="36"/>
        <w:rPr>
          <w:b/>
          <w:bCs/>
          <w:color w:val="1E3A5F"/>
          <w:sz w:val="40"/>
          <w:szCs w:val="40"/>
        </w:rPr>
      </w:pPr>
      <w:r>
        <w:t xml:space="preserve">5.  Page 3 — Ticker Deep-Dive</w:t>
      </w:r>
    </w:p>
    <w:p>
      <w:pPr>
        <w:spacing w:after="8" w:before="8"/>
        <w:jc w:val="both"/>
      </w:pPr>
      <w:r>
        <w:rPr>
          <w:color w:val="1A1A2E"/>
          <w:sz w:val="22"/>
          <w:szCs w:val="22"/>
        </w:rPr>
        <w:t xml:space="preserve">This page functions as a single-stock terminal. The audience is analysts conducting stock-specific research, risk officers reviewing a specific position, or traders evaluating entry/exit timing. Everything reacts to the ticker slicer.</w:t>
      </w:r>
    </w:p>
    <w:p>
      <w:pPr>
        <w:spacing w:after="0" w:before="8"/>
      </w:pPr>
    </w:p>
    <w:p>
      <w:pPr>
        <w:pStyle w:val="Heading2"/>
        <w:spacing w:after="12" w:before="28"/>
        <w:rPr>
          <w:b/>
          <w:bCs/>
          <w:color w:val="2E6DA4"/>
          <w:sz w:val="32"/>
          <w:szCs w:val="32"/>
        </w:rPr>
      </w:pPr>
      <w:r>
        <w:t xml:space="preserve">5.1  Visual 1 — Price + Moving Averages (Line Chart)</w:t>
      </w:r>
    </w:p>
    <w:p>
      <w:pPr>
        <w:pStyle w:val="Heading3"/>
        <w:spacing w:after="8" w:before="20"/>
        <w:rPr>
          <w:b/>
          <w:bCs/>
          <w:color w:val="1E3A5F"/>
          <w:sz w:val="26"/>
          <w:szCs w:val="26"/>
        </w:rPr>
      </w:pPr>
      <w:r>
        <w:t xml:space="preserve">Data source:  monthly_performance  (avg_close)  +  DAX MA 20/50/200</w:t>
      </w:r>
    </w:p>
    <w:p>
      <w:pPr>
        <w:spacing w:after="8" w:before="8"/>
        <w:jc w:val="both"/>
      </w:pPr>
      <w:r>
        <w:rPr>
          <w:color w:val="1A1A2E"/>
          <w:sz w:val="22"/>
          <w:szCs w:val="22"/>
        </w:rPr>
        <w:t xml:space="preserve">Four lines on one chart: close price, MA 20, MA 50, MA 200. Date on X-axis. The MA lines are calculated in DAX using DATESINPERIOD rolling windows. The chart is the primary trend analysis tool.</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Moving Average Crossover Signals — Business Interpretation</w:t>
            </w:r>
          </w:p>
          <w:p>
            <w:pPr>
              <w:spacing w:after="6" w:before="6"/>
            </w:pPr>
            <w:r>
              <w:rPr>
                <w:b/>
                <w:bCs/>
                <w:color w:val="2E6DA4"/>
                <w:sz w:val="22"/>
                <w:szCs w:val="22"/>
              </w:rPr>
              <w:t xml:space="preserve">🔵 Buy Signal:  </w:t>
            </w:r>
            <w:r>
              <w:rPr>
                <w:color w:val="1A1A2E"/>
                <w:sz w:val="22"/>
                <w:szCs w:val="22"/>
              </w:rPr>
              <w:t xml:space="preserve">Golden Cross: MA 50 crosses ABOVE MA 200. Historically, this signals the start of a sustained bull run for the individual ticker. It has a ~65% historical success rate as a buy signal across US equities.</w:t>
            </w:r>
          </w:p>
          <w:p>
            <w:pPr>
              <w:spacing w:after="6" w:before="6"/>
            </w:pPr>
            <w:r>
              <w:rPr>
                <w:b/>
                <w:bCs/>
                <w:color w:val="2E6DA4"/>
                <w:sz w:val="22"/>
                <w:szCs w:val="22"/>
              </w:rPr>
              <w:t xml:space="preserve">🔵 Sell Signal:  </w:t>
            </w:r>
            <w:r>
              <w:rPr>
                <w:color w:val="1A1A2E"/>
                <w:sz w:val="22"/>
                <w:szCs w:val="22"/>
              </w:rPr>
              <w:t xml:space="preserve">Death Cross: MA 50 crosses BELOW MA 200. This is a sell/reduce signal. It has a ~60% historical success rate. More reliable in high-volume stocks (where manipulation is less common).</w:t>
            </w:r>
          </w:p>
          <w:p>
            <w:pPr>
              <w:spacing w:after="6" w:before="6"/>
            </w:pPr>
            <w:r>
              <w:rPr>
                <w:b/>
                <w:bCs/>
                <w:color w:val="2E6DA4"/>
                <w:sz w:val="22"/>
                <w:szCs w:val="22"/>
              </w:rPr>
              <w:t xml:space="preserve">🔵 Trend Confirmation:  </w:t>
            </w:r>
            <w:r>
              <w:rPr>
                <w:color w:val="1A1A2E"/>
                <w:sz w:val="22"/>
                <w:szCs w:val="22"/>
              </w:rPr>
              <w:t xml:space="preserve">Price above all three MAs: strong uptrend, momentum confirmed by multiple timeframes. This is the lowest-risk entry condition for long positions.</w:t>
            </w:r>
          </w:p>
          <w:p>
            <w:pPr>
              <w:spacing w:after="6" w:before="6"/>
            </w:pPr>
            <w:r>
              <w:rPr>
                <w:b/>
                <w:bCs/>
                <w:color w:val="C0392B"/>
                <w:sz w:val="22"/>
                <w:szCs w:val="22"/>
              </w:rPr>
              <w:t xml:space="preserve">Deterioration Alert:  </w:t>
            </w:r>
            <w:r>
              <w:rPr>
                <w:color w:val="1A1A2E"/>
                <w:sz w:val="22"/>
                <w:szCs w:val="22"/>
              </w:rPr>
              <w:t xml:space="preserve">Price below all three MAs in a stock that was previously a GAINER (from top_performers): this combination suggests a fundamental deterioration, not just a market-wide correction. Requires fundamental review.</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Configure the chart so clicking any data point shows a tooltip with: closing price, daily volume, stochastic %K, and whether %K &gt; %D (bullish) or %K &lt; %D (bearish). This gives analysts everything they need in one hover.</w:t>
      </w:r>
    </w:p>
    <w:p>
      <w:pPr>
        <w:pStyle w:val="ListParagraph"/>
        <w:numPr>
          <w:ilvl w:val="0"/>
          <w:numId w:val="1"/>
        </w:numPr>
        <w:spacing w:after="4" w:before="4"/>
      </w:pPr>
      <w:r>
        <w:rPr>
          <w:color w:val="1A1A2E"/>
          <w:sz w:val="22"/>
          <w:szCs w:val="22"/>
        </w:rPr>
        <w:t xml:space="preserve">Add a calculated column in dim_ticker for 'MA Signal': use the latest values from stochastic_signals and top_performers to tag each ticker as 'Bullish', 'Bearish', or 'Neutral'. Use this as a slicer filter on Page 2 to quickly filter the heatmap to only bullish tickers.</w:t>
      </w:r>
    </w:p>
    <w:p>
      <w:pPr>
        <w:pStyle w:val="ListParagraph"/>
        <w:numPr>
          <w:ilvl w:val="0"/>
          <w:numId w:val="1"/>
        </w:numPr>
        <w:spacing w:after="4" w:before="4"/>
      </w:pPr>
      <w:r>
        <w:rPr>
          <w:color w:val="1A1A2E"/>
          <w:sz w:val="22"/>
          <w:szCs w:val="22"/>
        </w:rPr>
        <w:t xml:space="preserve">For stocks where the close is below MA 200 for more than 60 consecutive trading days, add a 'Long-Term Decline' tag in dim_ticker. This should trigger a mandatory portfolio review for any position held in this stock.</w:t>
      </w:r>
    </w:p>
    <w:p>
      <w:pPr>
        <w:spacing w:after="0" w:before="12"/>
      </w:pPr>
    </w:p>
    <w:p>
      <w:pPr>
        <w:pStyle w:val="Heading2"/>
        <w:spacing w:after="12" w:before="28"/>
        <w:rPr>
          <w:b/>
          <w:bCs/>
          <w:color w:val="2E6DA4"/>
          <w:sz w:val="32"/>
          <w:szCs w:val="32"/>
        </w:rPr>
      </w:pPr>
      <w:r>
        <w:t xml:space="preserve">5.2  Visual 2 — Price + Volume Combo Chart</w:t>
      </w:r>
    </w:p>
    <w:p>
      <w:pPr>
        <w:pStyle w:val="Heading3"/>
        <w:spacing w:after="8" w:before="20"/>
        <w:rPr>
          <w:b/>
          <w:bCs/>
          <w:color w:val="1E3A5F"/>
          <w:sz w:val="26"/>
          <w:szCs w:val="26"/>
        </w:rPr>
      </w:pPr>
      <w:r>
        <w:t xml:space="preserve">Data source:  monthly_performance  +  volume_leaders</w:t>
      </w:r>
    </w:p>
    <w:p>
      <w:pPr>
        <w:spacing w:after="8" w:before="8"/>
        <w:jc w:val="both"/>
      </w:pPr>
      <w:r>
        <w:rPr>
          <w:color w:val="1A1A2E"/>
          <w:sz w:val="22"/>
          <w:szCs w:val="22"/>
        </w:rPr>
        <w:t xml:space="preserve">Line chart (close price, left Y-axis) overlaid with bar chart (total volume, right Y-axis). The dual Y-axis chart is Power BI's 'Line and Clustered Column Chart' visual type.</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Volume Confirms Price — The Core Insight</w:t>
            </w:r>
          </w:p>
          <w:p>
            <w:pPr>
              <w:spacing w:after="6" w:before="6"/>
            </w:pPr>
            <w:r>
              <w:rPr>
                <w:b/>
                <w:bCs/>
                <w:color w:val="2E6DA4"/>
                <w:sz w:val="22"/>
                <w:szCs w:val="22"/>
              </w:rPr>
              <w:t xml:space="preserve">🔵 Institutional Buying:  </w:t>
            </w:r>
            <w:r>
              <w:rPr>
                <w:color w:val="1A1A2E"/>
                <w:sz w:val="22"/>
                <w:szCs w:val="22"/>
              </w:rPr>
              <w:t xml:space="preserve">High volume + rising price = institutional buying (smart money). This is the strongest bullish confirmation signal. Example: if AAPL's price rises 3% on 2× average volume, this is genuine demand, not retail speculation.</w:t>
            </w:r>
          </w:p>
          <w:p>
            <w:pPr>
              <w:spacing w:after="6" w:before="6"/>
            </w:pPr>
            <w:r>
              <w:rPr>
                <w:b/>
                <w:bCs/>
                <w:color w:val="2E6DA4"/>
                <w:sz w:val="22"/>
                <w:szCs w:val="22"/>
              </w:rPr>
              <w:t xml:space="preserve">🔵 Distribution Warning:  </w:t>
            </w:r>
            <w:r>
              <w:rPr>
                <w:color w:val="1A1A2E"/>
                <w:sz w:val="22"/>
                <w:szCs w:val="22"/>
              </w:rPr>
              <w:t xml:space="preserve">High volume + falling price = institutional selling (distribution phase). This is the most dangerous signal for existing long positions — the big players are exiting and retail investors are absorbing the sell pressure.</w:t>
            </w:r>
          </w:p>
          <w:p>
            <w:pPr>
              <w:spacing w:after="6" w:before="6"/>
            </w:pPr>
            <w:r>
              <w:rPr>
                <w:b/>
                <w:bCs/>
                <w:color w:val="C0392B"/>
                <w:sz w:val="22"/>
                <w:szCs w:val="22"/>
              </w:rPr>
              <w:t xml:space="preserve">False Rally:  </w:t>
            </w:r>
            <w:r>
              <w:rPr>
                <w:color w:val="1A1A2E"/>
                <w:sz w:val="22"/>
                <w:szCs w:val="22"/>
              </w:rPr>
              <w:t xml:space="preserve">Rising price + declining volume = 'thin air rally'. The price rise is not supported by conviction. These moves typically reverse sharply. Do not add to positions in this condition.</w:t>
            </w:r>
          </w:p>
          <w:p>
            <w:pPr>
              <w:spacing w:after="6" w:before="6"/>
            </w:pPr>
            <w:r>
              <w:rPr>
                <w:b/>
                <w:bCs/>
                <w:color w:val="2E6DA4"/>
                <w:sz w:val="22"/>
                <w:szCs w:val="22"/>
              </w:rPr>
              <w:t xml:space="preserve">🔵 Stealth Accumulation:  </w:t>
            </w:r>
            <w:r>
              <w:rPr>
                <w:color w:val="1A1A2E"/>
                <w:sz w:val="22"/>
                <w:szCs w:val="22"/>
              </w:rPr>
              <w:t xml:space="preserve">Spike in volume with minimal price movement = accumulation/distribution at a price level. The stock is being quietly bought or sold by large players before a major move. Watch for breakout in subsequent days.</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Add a 'Volume Spike Alert' measure: IF volume &gt; 2 × avg_daily_volume AND return_1d &gt; 0 THEN 'Bullish Spike' ELSE IF volume &gt; 2 × avg_daily_volume AND return_1d &lt; 0 THEN 'Bearish Spike' ELSE 'Normal'. Display this as a colour-coded icon column in the ticker detail table on Page 2.</w:t>
      </w:r>
    </w:p>
    <w:p>
      <w:pPr>
        <w:pStyle w:val="ListParagraph"/>
        <w:numPr>
          <w:ilvl w:val="0"/>
          <w:numId w:val="1"/>
        </w:numPr>
        <w:spacing w:after="4" w:before="4"/>
      </w:pPr>
      <w:r>
        <w:rPr>
          <w:color w:val="1A1A2E"/>
          <w:sz w:val="22"/>
          <w:szCs w:val="22"/>
        </w:rPr>
        <w:t xml:space="preserve">For any ticker in your portfolio that shows a Bearish Volume Spike, set an automated Power BI alert to notify the risk manager within 1 hour of the data refresh.</w:t>
      </w:r>
    </w:p>
    <w:p>
      <w:pPr>
        <w:spacing w:after="0" w:before="12"/>
      </w:pPr>
    </w:p>
    <w:p>
      <w:pPr>
        <w:pStyle w:val="Heading2"/>
        <w:spacing w:after="12" w:before="28"/>
        <w:rPr>
          <w:b/>
          <w:bCs/>
          <w:color w:val="2E6DA4"/>
          <w:sz w:val="32"/>
          <w:szCs w:val="32"/>
        </w:rPr>
      </w:pPr>
      <w:r>
        <w:t xml:space="preserve">5.3  Visual 3 — Daily Returns Distribution (Column Chart / Histogram)</w:t>
      </w:r>
    </w:p>
    <w:p>
      <w:pPr>
        <w:pStyle w:val="Heading3"/>
        <w:spacing w:after="8" w:before="20"/>
        <w:rPr>
          <w:b/>
          <w:bCs/>
          <w:color w:val="1E3A5F"/>
          <w:sz w:val="26"/>
          <w:szCs w:val="26"/>
        </w:rPr>
      </w:pPr>
      <w:r>
        <w:t xml:space="preserve">Data source:  price_volatility  (win_rate_pct, green_days, red_days, flat_days)</w:t>
      </w:r>
    </w:p>
    <w:p>
      <w:pPr>
        <w:spacing w:after="8" w:before="8"/>
        <w:jc w:val="both"/>
      </w:pPr>
      <w:r>
        <w:rPr>
          <w:color w:val="1A1A2E"/>
          <w:sz w:val="22"/>
          <w:szCs w:val="22"/>
        </w:rPr>
        <w:t xml:space="preserve">A distribution view of daily returns for the selected ticker. Since raw daily return distributions are not pre-computed per day, approximate this using a bar chart of green_days vs red_days vs flat_days from price_volatility, plus the coefficient of variation as a risk label. For a true histogram, use the streaming_window_summary table's event distribution as a proxy.</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Win Rate:  </w:t>
            </w:r>
            <w:r>
              <w:rPr>
                <w:color w:val="1A1A2E"/>
                <w:sz w:val="22"/>
                <w:szCs w:val="22"/>
              </w:rPr>
              <w:t xml:space="preserve">Win Rate % (green_days / total_days): any stock above 55% win rate has positive daily return asymmetry — it closes up more often than it closes down. Combined with positive period return, this is the hallmark of a momentum stock.</w:t>
            </w:r>
          </w:p>
          <w:p>
            <w:pPr>
              <w:spacing w:after="6" w:before="6"/>
            </w:pPr>
            <w:r>
              <w:rPr>
                <w:b/>
                <w:bCs/>
                <w:color w:val="2E6DA4"/>
                <w:sz w:val="22"/>
                <w:szCs w:val="22"/>
              </w:rPr>
              <w:t xml:space="preserve">🔵 Stability:  </w:t>
            </w:r>
            <w:r>
              <w:rPr>
                <w:color w:val="1A1A2E"/>
                <w:sz w:val="22"/>
                <w:szCs w:val="22"/>
              </w:rPr>
              <w:t xml:space="preserve">Coefficient of Variation % (coeff_variation_pct from price_volatility): measures return consistency. CV &lt; 20% = stable, predictable. CV &gt; 60% = highly unpredictable — suitable only for short-term traders, not buy-and-hold investors.</w:t>
            </w:r>
          </w:p>
          <w:p>
            <w:pPr>
              <w:spacing w:after="6" w:before="6"/>
            </w:pPr>
            <w:r>
              <w:rPr>
                <w:b/>
                <w:bCs/>
                <w:color w:val="2E6DA4"/>
                <w:sz w:val="22"/>
                <w:szCs w:val="22"/>
              </w:rPr>
              <w:t xml:space="preserve">🔵 Liquidity Warning:  </w:t>
            </w:r>
            <w:r>
              <w:rPr>
                <w:color w:val="1A1A2E"/>
                <w:sz w:val="22"/>
                <w:szCs w:val="22"/>
              </w:rPr>
              <w:t xml:space="preserve">Flat Days count: stocks with high flat_days counts are often low-liquidity tickers where price discovery is poor. Avoid these for market-order execution — use limit orders only.</w:t>
            </w:r>
          </w:p>
          <w:p>
            <w:pPr>
              <w:spacing w:after="6" w:before="6"/>
            </w:pPr>
            <w:r>
              <w:rPr>
                <w:b/>
                <w:bCs/>
                <w:color w:val="C0392B"/>
                <w:sz w:val="22"/>
                <w:szCs w:val="22"/>
              </w:rPr>
              <w:t xml:space="preserve">Beta Warning:  </w:t>
            </w:r>
            <w:r>
              <w:rPr>
                <w:color w:val="1A1A2E"/>
                <w:sz w:val="22"/>
                <w:szCs w:val="22"/>
              </w:rPr>
              <w:t xml:space="preserve">A win rate above 60% combined with annualised volatility above 40% indicates a 'high-beta momentum stock'. These stocks can dramatically outperform in bull markets and dramatically underperform in bear markets. Risk-adjust position sizes accordingly.</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Build a 'Risk-Adjusted Return Score' measure: (Period Return % × Win Rate %) / Annualised Volatility. Tickers with score &gt; 2 are high-quality risk-adjusted performers. Feature these prominently in the monthly investment committee report.</w:t>
      </w:r>
    </w:p>
    <w:p>
      <w:pPr>
        <w:pStyle w:val="ListParagraph"/>
        <w:numPr>
          <w:ilvl w:val="0"/>
          <w:numId w:val="1"/>
        </w:numPr>
        <w:spacing w:after="4" w:before="4"/>
      </w:pPr>
      <w:r>
        <w:rPr>
          <w:color w:val="1A1A2E"/>
          <w:sz w:val="22"/>
          <w:szCs w:val="22"/>
        </w:rPr>
        <w:t xml:space="preserve">For portfolio construction, create a Power BI matrix showing every ticker's Win Rate % vs Annualised Volatility. Quadrant analysis: High Win + Low Vol = Core Holdings; Low Win + Low Vol = Defensive Fills; High Win + High Vol = Tactical Traders; Low Win + High Vol = Avoid/Short candidates.</w:t>
      </w:r>
    </w:p>
    <w:p>
      <w:pPr>
        <w:spacing w:after="0" w:before="12"/>
      </w:pPr>
    </w:p>
    <w:p>
      <w:pPr>
        <w:pStyle w:val="Heading2"/>
        <w:spacing w:after="12" w:before="28"/>
        <w:rPr>
          <w:b/>
          <w:bCs/>
          <w:color w:val="2E6DA4"/>
          <w:sz w:val="32"/>
          <w:szCs w:val="32"/>
        </w:rPr>
      </w:pPr>
      <w:r>
        <w:t xml:space="preserve">5.4  Visual 4 — Stochastic Oscillator Summary (KPI + Gauge)</w:t>
      </w:r>
    </w:p>
    <w:p>
      <w:pPr>
        <w:pStyle w:val="Heading3"/>
        <w:spacing w:after="8" w:before="20"/>
        <w:rPr>
          <w:b/>
          <w:bCs/>
          <w:color w:val="1E3A5F"/>
          <w:sz w:val="26"/>
          <w:szCs w:val="26"/>
        </w:rPr>
      </w:pPr>
      <w:r>
        <w:t xml:space="preserve">Data source:  stochastic_signals</w:t>
      </w:r>
    </w:p>
    <w:p>
      <w:pPr>
        <w:spacing w:after="8" w:before="8"/>
        <w:jc w:val="both"/>
      </w:pPr>
      <w:r>
        <w:rPr>
          <w:color w:val="1A1A2E"/>
          <w:sz w:val="22"/>
          <w:szCs w:val="22"/>
        </w:rPr>
        <w:t xml:space="preserve">KPI card showing current avg_stochk and avg_stochd, with conditional formatting (green if k &gt; d, red if k &lt; d). A gauge visual showing overbought_rate_pct against a 20% threshold.</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Overbought Signal:  </w:t>
            </w:r>
            <w:r>
              <w:rPr>
                <w:color w:val="1A1A2E"/>
                <w:sz w:val="22"/>
                <w:szCs w:val="22"/>
              </w:rPr>
              <w:t xml:space="preserve">Stochastic %K &gt; 80 (Overbought): the stock has risen too fast relative to its recent range. This does not mean 'sell immediately' — in strong uptrends, stocks can stay overbought for extended periods. It means: tighten stop-losses and do not add new long positions.</w:t>
            </w:r>
          </w:p>
          <w:p>
            <w:pPr>
              <w:spacing w:after="6" w:before="6"/>
            </w:pPr>
            <w:r>
              <w:rPr>
                <w:b/>
                <w:bCs/>
                <w:color w:val="2E6DA4"/>
                <w:sz w:val="22"/>
                <w:szCs w:val="22"/>
              </w:rPr>
              <w:t xml:space="preserve">🔵 Oversold Signal:  </w:t>
            </w:r>
            <w:r>
              <w:rPr>
                <w:color w:val="1A1A2E"/>
                <w:sz w:val="22"/>
                <w:szCs w:val="22"/>
              </w:rPr>
              <w:t xml:space="preserve">Stochastic %K &lt; 20 (Oversold): the stock has fallen too fast. In healthy companies, this is a potential buy opportunity. In fundamentally weak companies, it can be a 'falling knife' — always check dividend_analysis and top_performers before acting on an oversold signal alone.</w:t>
            </w:r>
          </w:p>
          <w:p>
            <w:pPr>
              <w:spacing w:after="6" w:before="6"/>
            </w:pPr>
            <w:r>
              <w:rPr>
                <w:b/>
                <w:bCs/>
                <w:color w:val="2E6DA4"/>
                <w:sz w:val="22"/>
                <w:szCs w:val="22"/>
              </w:rPr>
              <w:t xml:space="preserve">🔵 Bullish Crossover:  </w:t>
            </w:r>
            <w:r>
              <w:rPr>
                <w:color w:val="1A1A2E"/>
                <w:sz w:val="22"/>
                <w:szCs w:val="22"/>
              </w:rPr>
              <w:t xml:space="preserve">%K crosses above %D (k_above_d flag turns positive): bullish momentum crossover. This is the classic Stochastic buy signal — most reliable when it occurs from the oversold zone (&lt;20).</w:t>
            </w:r>
          </w:p>
          <w:p>
            <w:pPr>
              <w:spacing w:after="6" w:before="6"/>
            </w:pPr>
            <w:r>
              <w:rPr>
                <w:b/>
                <w:bCs/>
                <w:color w:val="2E6DA4"/>
                <w:sz w:val="22"/>
                <w:szCs w:val="22"/>
              </w:rPr>
              <w:t xml:space="preserve">🔵 Bearish Crossover:  </w:t>
            </w:r>
            <w:r>
              <w:rPr>
                <w:color w:val="1A1A2E"/>
                <w:sz w:val="22"/>
                <w:szCs w:val="22"/>
              </w:rPr>
              <w:t xml:space="preserve">%K crosses below %D: bearish momentum crossover. Most reliable when it occurs from the overbought zone (&gt;80).</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Filter v_overbought_stocks (overbought_rate_pct &gt; 20%) and cross-reference with top_performers (direction = GAINER). Stocks that are both top gainers AND frequently overbought are momentum candidates — suitable for momentum-strategy ETF construction.</w:t>
      </w:r>
    </w:p>
    <w:p>
      <w:pPr>
        <w:pStyle w:val="ListParagraph"/>
        <w:numPr>
          <w:ilvl w:val="0"/>
          <w:numId w:val="1"/>
        </w:numPr>
        <w:spacing w:after="4" w:before="4"/>
      </w:pPr>
      <w:r>
        <w:rPr>
          <w:color w:val="1A1A2E"/>
          <w:sz w:val="22"/>
          <w:szCs w:val="22"/>
        </w:rPr>
        <w:t xml:space="preserve">Filter for oversold tickers (oversold_k from stochastic_signals) that also appear in v_dividend_champions. These are income stocks trading at depressed technical levels — ideal for dividend reinvestment strategy entry points.</w:t>
      </w:r>
    </w:p>
    <w:p>
      <w:pPr>
        <w:spacing w:after="0" w:before="12"/>
      </w:pPr>
    </w:p>
    <w:p>
      <w:r>
        <w:br w:type="page"/>
      </w:r>
    </w:p>
    <w:p>
      <w:pPr>
        <w:pStyle w:val="Heading1"/>
        <w:pBdr>
          <w:bottom w:val="single" w:color="C8A951" w:sz="6" w:space="4"/>
        </w:pBdr>
        <w:spacing w:after="16" w:before="36"/>
        <w:rPr>
          <w:b/>
          <w:bCs/>
          <w:color w:val="1E3A5F"/>
          <w:sz w:val="40"/>
          <w:szCs w:val="40"/>
        </w:rPr>
      </w:pPr>
      <w:r>
        <w:t xml:space="preserve">6.  Page 4 — Volume &amp; Volatility Analysis</w:t>
      </w:r>
    </w:p>
    <w:p>
      <w:pPr>
        <w:spacing w:after="8" w:before="8"/>
        <w:jc w:val="both"/>
      </w:pPr>
      <w:r>
        <w:rPr>
          <w:color w:val="1A1A2E"/>
          <w:sz w:val="22"/>
          <w:szCs w:val="22"/>
        </w:rPr>
        <w:t xml:space="preserve">This page is the risk management dashboard. It answers the question: 'Where is institutional money moving, and which stocks carry unacceptable risk?' The audience is risk officers, quant analysts, and portfolio construction teams.</w:t>
      </w:r>
    </w:p>
    <w:p>
      <w:pPr>
        <w:spacing w:after="0" w:before="8"/>
      </w:pPr>
    </w:p>
    <w:p>
      <w:pPr>
        <w:pStyle w:val="Heading2"/>
        <w:spacing w:after="12" w:before="28"/>
        <w:rPr>
          <w:b/>
          <w:bCs/>
          <w:color w:val="2E6DA4"/>
          <w:sz w:val="32"/>
          <w:szCs w:val="32"/>
        </w:rPr>
      </w:pPr>
      <w:r>
        <w:t xml:space="preserve">6.1  Visual 1 — Volume Leaders Bar Chart</w:t>
      </w:r>
    </w:p>
    <w:p>
      <w:pPr>
        <w:pStyle w:val="Heading3"/>
        <w:spacing w:after="8" w:before="20"/>
        <w:rPr>
          <w:b/>
          <w:bCs/>
          <w:color w:val="1E3A5F"/>
          <w:sz w:val="26"/>
          <w:szCs w:val="26"/>
        </w:rPr>
      </w:pPr>
      <w:r>
        <w:t xml:space="preserve">Data source:  v_most_traded  (total_volume, avg_daily_volume, high_volume_days)</w:t>
      </w:r>
    </w:p>
    <w:p>
      <w:pPr>
        <w:spacing w:after="8" w:before="8"/>
        <w:jc w:val="both"/>
      </w:pPr>
      <w:r>
        <w:rPr>
          <w:color w:val="1A1A2E"/>
          <w:sz w:val="22"/>
          <w:szCs w:val="22"/>
        </w:rPr>
        <w:t xml:space="preserve">Top 50 tickers by total_volume, horizontal bar chart sorted descending. Add a second data label showing avg_daily_volume alongside the bar. Use conditional formatting to highlight tickers where high_volume_days &gt; 30% of trading_days in gold — these are consistently active institutional targets.</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Liquidity Map:  </w:t>
            </w:r>
            <w:r>
              <w:rPr>
                <w:color w:val="1A1A2E"/>
                <w:sz w:val="22"/>
                <w:szCs w:val="22"/>
              </w:rPr>
              <w:t xml:space="preserve">Top-volume tickers are the most liquid instruments in the dataset. Bid-ask spreads are tightest here, and large orders can be executed without significant market impact. These are the preferred instruments for institutional portfolio managers.</w:t>
            </w:r>
          </w:p>
          <w:p>
            <w:pPr>
              <w:spacing w:after="6" w:before="6"/>
            </w:pPr>
            <w:r>
              <w:rPr>
                <w:b/>
                <w:bCs/>
                <w:color w:val="2E6DA4"/>
                <w:sz w:val="22"/>
                <w:szCs w:val="22"/>
              </w:rPr>
              <w:t xml:space="preserve">🔵 Institutional Activity:  </w:t>
            </w:r>
            <w:r>
              <w:rPr>
                <w:color w:val="1A1A2E"/>
                <w:sz w:val="22"/>
                <w:szCs w:val="22"/>
              </w:rPr>
              <w:t xml:space="preserve">high_volume_days count (days with volume &gt; 2× average): this measures how often the stock experiences unusual institutional activity. A high_volume_days rate above 25% means the stock is regularly targeted by large players — follow the smart money.</w:t>
            </w:r>
          </w:p>
          <w:p>
            <w:pPr>
              <w:spacing w:after="6" w:before="6"/>
            </w:pPr>
            <w:r>
              <w:rPr>
                <w:b/>
                <w:bCs/>
                <w:color w:val="2E6DA4"/>
                <w:sz w:val="22"/>
                <w:szCs w:val="22"/>
              </w:rPr>
              <w:t xml:space="preserve">🔵 Liquidity Decline:  </w:t>
            </w:r>
            <w:r>
              <w:rPr>
                <w:color w:val="1A1A2E"/>
                <w:sz w:val="22"/>
                <w:szCs w:val="22"/>
              </w:rPr>
              <w:t xml:space="preserve">Volume trend over time (from streaming_window_summary): declining average volume in a previously high-volume stock is a liquidity deterioration warning. It precedes wider bid-ask spreads and eventually delistings in small-caps.</w:t>
            </w:r>
          </w:p>
          <w:p>
            <w:pPr>
              <w:spacing w:after="6" w:before="6"/>
            </w:pPr>
            <w:r>
              <w:rPr>
                <w:b/>
                <w:bCs/>
                <w:color w:val="C0392B"/>
                <w:sz w:val="22"/>
                <w:szCs w:val="22"/>
              </w:rPr>
              <w:t xml:space="preserve">Liquidation Warning:  </w:t>
            </w:r>
            <w:r>
              <w:rPr>
                <w:color w:val="1A1A2E"/>
                <w:sz w:val="22"/>
                <w:szCs w:val="22"/>
              </w:rPr>
              <w:t xml:space="preserve">Ultra-high-volume tickers that appear in top_performers with direction = LOSER: these are stocks with massive sell volume driving prices down. This is a liquidation event — do not try to catch the falling knife based on volume alone.</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Define a 'Tradeable Universe' as all tickers where avg_daily_volume &gt; 500,000 shares AND trading_days &gt; 200. This filters out illiquid micro-caps. Publish this list as a Power BI table visual with export to CSV for use in trading systems.</w:t>
      </w:r>
    </w:p>
    <w:p>
      <w:pPr>
        <w:pStyle w:val="ListParagraph"/>
        <w:numPr>
          <w:ilvl w:val="0"/>
          <w:numId w:val="1"/>
        </w:numPr>
        <w:spacing w:after="4" w:before="4"/>
      </w:pPr>
      <w:r>
        <w:rPr>
          <w:color w:val="1A1A2E"/>
          <w:sz w:val="22"/>
          <w:szCs w:val="22"/>
        </w:rPr>
        <w:t xml:space="preserve">Monitor volume_stddev from volume_leaders. Stocks with very high volume_stddev relative to their avg_daily_volume are subject to 'volume shocks' — sudden order imbalances. Flag these for position-sizing limits (never more than 2% of a single day's avg volume per order).</w:t>
      </w:r>
    </w:p>
    <w:p>
      <w:pPr>
        <w:pStyle w:val="ListParagraph"/>
        <w:numPr>
          <w:ilvl w:val="0"/>
          <w:numId w:val="1"/>
        </w:numPr>
        <w:spacing w:after="4" w:before="4"/>
      </w:pPr>
      <w:r>
        <w:rPr>
          <w:color w:val="1A1A2E"/>
          <w:sz w:val="22"/>
          <w:szCs w:val="22"/>
        </w:rPr>
        <w:t xml:space="preserve">Cross-reference high-volume stocks with stochastic_signals: if a top-10 volume stock shows %K &lt; 20 (oversold), this is a high-conviction buy signal because the oversold condition is occurring with meaningful volume, not thin-air trading.</w:t>
      </w:r>
    </w:p>
    <w:p>
      <w:pPr>
        <w:spacing w:after="0" w:before="12"/>
      </w:pPr>
    </w:p>
    <w:p>
      <w:pPr>
        <w:pStyle w:val="Heading2"/>
        <w:spacing w:after="12" w:before="28"/>
        <w:rPr>
          <w:b/>
          <w:bCs/>
          <w:color w:val="2E6DA4"/>
          <w:sz w:val="32"/>
          <w:szCs w:val="32"/>
        </w:rPr>
      </w:pPr>
      <w:r>
        <w:t xml:space="preserve">6.2  Visual 2 — Volatility Leaders Bar Chart</w:t>
      </w:r>
    </w:p>
    <w:p>
      <w:pPr>
        <w:pStyle w:val="Heading3"/>
        <w:spacing w:after="8" w:before="20"/>
        <w:rPr>
          <w:b/>
          <w:bCs/>
          <w:color w:val="1E3A5F"/>
          <w:sz w:val="26"/>
          <w:szCs w:val="26"/>
        </w:rPr>
      </w:pPr>
      <w:r>
        <w:t xml:space="preserve">Data source:  price_volatility  (coeff_variation_pct, avg_daily_range_pct)  +  v_high_volatility</w:t>
      </w:r>
    </w:p>
    <w:p>
      <w:pPr>
        <w:spacing w:after="8" w:before="8"/>
        <w:jc w:val="both"/>
      </w:pPr>
      <w:r>
        <w:rPr>
          <w:color w:val="1A1A2E"/>
          <w:sz w:val="22"/>
          <w:szCs w:val="22"/>
        </w:rPr>
        <w:t xml:space="preserve">Top 30 most volatile tickers by coeff_variation_pct (CV%), sorted descending. The CV% normalises volatility by price level, making a $2 stock and a $200 stock comparable. Add a threshold line at 50% (the v_high_volatility view threshold) as a reference.</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Volatility Magnitude:  </w:t>
            </w:r>
            <w:r>
              <w:rPr>
                <w:color w:val="1A1A2E"/>
                <w:sz w:val="22"/>
                <w:szCs w:val="22"/>
              </w:rPr>
              <w:t xml:space="preserve">Coefficient of Variation (CV%) = standard deviation / mean × 100. A CV of 80% means the stock's price swings by 80% of its average price over the measured period. CV &gt; 100% means the stock has nearly doubled and nearly halved at some point — this is extreme speculative territory.</w:t>
            </w:r>
          </w:p>
          <w:p>
            <w:pPr>
              <w:spacing w:after="6" w:before="6"/>
            </w:pPr>
            <w:r>
              <w:rPr>
                <w:b/>
                <w:bCs/>
                <w:color w:val="2E6DA4"/>
                <w:sz w:val="22"/>
                <w:szCs w:val="22"/>
              </w:rPr>
              <w:t xml:space="preserve">🔵 Intraday Risk:  </w:t>
            </w:r>
            <w:r>
              <w:rPr>
                <w:color w:val="1A1A2E"/>
                <w:sz w:val="22"/>
                <w:szCs w:val="22"/>
              </w:rPr>
              <w:t xml:space="preserve">avg_daily_range_pct from price_volatility measures the typical intraday swing as a % of close. A stock with avg_daily_range_pct of 5% is oscillating 5% between high and low every single trading day — this is a day-trading instrument, not a buy-and-hold asset.</w:t>
            </w:r>
          </w:p>
          <w:p>
            <w:pPr>
              <w:spacing w:after="6" w:before="6"/>
            </w:pPr>
            <w:r>
              <w:rPr>
                <w:b/>
                <w:bCs/>
                <w:color w:val="2E6DA4"/>
                <w:sz w:val="22"/>
                <w:szCs w:val="22"/>
              </w:rPr>
              <w:t xml:space="preserve">🔵 Price Range Analysis:  </w:t>
            </w:r>
            <w:r>
              <w:rPr>
                <w:color w:val="1A1A2E"/>
                <w:sz w:val="22"/>
                <w:szCs w:val="22"/>
              </w:rPr>
              <w:t xml:space="preserve">Comparing all_time_high vs all_time_low from price_volatility: if all_time_high / all_time_low &gt; 5 (the stock has gone from $X to $5X or from $5X back to $X), this is a 'boom-and-bust' stock. Check if the current price is near the high (momentum) or near the low (distressed).</w:t>
            </w:r>
          </w:p>
          <w:p>
            <w:pPr>
              <w:spacing w:after="6" w:before="6"/>
            </w:pPr>
            <w:r>
              <w:rPr>
                <w:b/>
                <w:bCs/>
                <w:color w:val="C0392B"/>
                <w:sz w:val="22"/>
                <w:szCs w:val="22"/>
              </w:rPr>
              <w:t xml:space="preserve">Unfavourable Risk Profile:  </w:t>
            </w:r>
            <w:r>
              <w:rPr>
                <w:color w:val="1A1A2E"/>
                <w:sz w:val="22"/>
                <w:szCs w:val="22"/>
              </w:rPr>
              <w:t xml:space="preserve">High-volatility stocks (CV &gt; 50%) combined with low win_rate_pct (&lt; 45%) are statistically unfavourable: the stock moves a lot, but loses more often than it gains. These should be excluded from income-oriented or capital-preservation portfolios entirely.</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Create a 'Volatility Budget' view: assume each portfolio position can contribute no more than 0.5% daily volatility to total portfolio volatility. Use the annualised_volatility measure to calculate the maximum position size: max_size = 0.005 / (daily_vol). Display this as a recommended position size column in the volatility table.</w:t>
      </w:r>
    </w:p>
    <w:p>
      <w:pPr>
        <w:pStyle w:val="ListParagraph"/>
        <w:numPr>
          <w:ilvl w:val="0"/>
          <w:numId w:val="1"/>
        </w:numPr>
        <w:spacing w:after="4" w:before="4"/>
      </w:pPr>
      <w:r>
        <w:rPr>
          <w:color w:val="1A1A2E"/>
          <w:sz w:val="22"/>
          <w:szCs w:val="22"/>
        </w:rPr>
        <w:t xml:space="preserve">For risk reporting, define three volatility tiers based on coeff_variation_pct: Conservative (CV &lt; 20%), Moderate (CV 20–50%), Aggressive (CV &gt; 50%). Display these tiers as a colour-coded matrix on the executive dashboard with the count and total volume exposure in each tier.</w:t>
      </w:r>
    </w:p>
    <w:p>
      <w:pPr>
        <w:pStyle w:val="ListParagraph"/>
        <w:numPr>
          <w:ilvl w:val="0"/>
          <w:numId w:val="1"/>
        </w:numPr>
        <w:spacing w:after="4" w:before="4"/>
      </w:pPr>
      <w:r>
        <w:rPr>
          <w:color w:val="1A1A2E"/>
          <w:sz w:val="22"/>
          <w:szCs w:val="22"/>
        </w:rPr>
        <w:t xml:space="preserve">Implement a 'volatility-adjusted momentum' screen: filter for tickers where Period Return % / Annualised Volatility &gt; 1 (Sharpe &gt; 1). These are the stocks delivering returns proportionate to their risk — the core of any systematic long strategy.</w:t>
      </w:r>
    </w:p>
    <w:p>
      <w:pPr>
        <w:spacing w:after="0" w:before="12"/>
      </w:pPr>
    </w:p>
    <w:p>
      <w:pPr>
        <w:pStyle w:val="Heading2"/>
        <w:spacing w:after="12" w:before="28"/>
        <w:rPr>
          <w:b/>
          <w:bCs/>
          <w:color w:val="2E6DA4"/>
          <w:sz w:val="32"/>
          <w:szCs w:val="32"/>
        </w:rPr>
      </w:pPr>
      <w:r>
        <w:t xml:space="preserve">6.3  Visual 3 — Volume vs Volatility Scatter Chart</w:t>
      </w:r>
    </w:p>
    <w:p>
      <w:pPr>
        <w:pStyle w:val="Heading3"/>
        <w:spacing w:after="8" w:before="20"/>
        <w:rPr>
          <w:b/>
          <w:bCs/>
          <w:color w:val="1E3A5F"/>
          <w:sz w:val="26"/>
          <w:szCs w:val="26"/>
        </w:rPr>
      </w:pPr>
      <w:r>
        <w:t xml:space="preserve">Data source:  v_high_volatility  +  v_most_traded  (joined on ticker)</w:t>
      </w:r>
    </w:p>
    <w:p>
      <w:pPr>
        <w:spacing w:after="8" w:before="8"/>
        <w:jc w:val="both"/>
      </w:pPr>
      <w:r>
        <w:rPr>
          <w:color w:val="1A1A2E"/>
          <w:sz w:val="22"/>
          <w:szCs w:val="22"/>
        </w:rPr>
        <w:t xml:space="preserve">X-axis: log(avg_daily_volume). Y-axis: annualised volatility. Bubble size: absolute period return from top_performers. Colour: direction (green = GAINER, red = LOSER). This single chart maps the entire investment universe in two risk dimensions simultaneously.</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The Four Quadrants — Strategic Interpretation</w:t>
            </w:r>
          </w:p>
          <w:p>
            <w:pPr>
              <w:spacing w:after="6" w:before="6"/>
            </w:pPr>
            <w:r>
              <w:rPr>
                <w:b/>
                <w:bCs/>
                <w:color w:val="2E6DA4"/>
                <w:sz w:val="22"/>
                <w:szCs w:val="22"/>
              </w:rPr>
              <w:t xml:space="preserve">🔵 Q1: Blue Chips:  </w:t>
            </w:r>
            <w:r>
              <w:rPr>
                <w:color w:val="1A1A2E"/>
                <w:sz w:val="22"/>
                <w:szCs w:val="22"/>
              </w:rPr>
              <w:t xml:space="preserve">Q1 — High Volume + Low Volatility (bottom right): Blue-chip territory. These are large-cap, heavily-traded, stable stocks. Core portfolio holdings. Low return potential but reliable capital preservation.</w:t>
            </w:r>
          </w:p>
          <w:p>
            <w:pPr>
              <w:spacing w:after="6" w:before="6"/>
            </w:pPr>
            <w:r>
              <w:rPr>
                <w:b/>
                <w:bCs/>
                <w:color w:val="2E6DA4"/>
                <w:sz w:val="22"/>
                <w:szCs w:val="22"/>
              </w:rPr>
              <w:t xml:space="preserve">🔵 Q2: Active Trading:  </w:t>
            </w:r>
            <w:r>
              <w:rPr>
                <w:color w:val="1A1A2E"/>
                <w:sz w:val="22"/>
                <w:szCs w:val="22"/>
              </w:rPr>
              <w:t xml:space="preserve">Q2 — High Volume + High Volatility (top right): The institutional trading zone. High-volume volatile stocks (e.g., semiconductor stocks, biotech around FDA events). Suitable for active trading strategies. Size positions carefully due to volatility.</w:t>
            </w:r>
          </w:p>
          <w:p>
            <w:pPr>
              <w:spacing w:after="6" w:before="6"/>
            </w:pPr>
            <w:r>
              <w:rPr>
                <w:b/>
                <w:bCs/>
                <w:color w:val="2E6DA4"/>
                <w:sz w:val="22"/>
                <w:szCs w:val="22"/>
              </w:rPr>
              <w:t xml:space="preserve">🔵 Q3: Value Territory:  </w:t>
            </w:r>
            <w:r>
              <w:rPr>
                <w:color w:val="1A1A2E"/>
                <w:sz w:val="22"/>
                <w:szCs w:val="22"/>
              </w:rPr>
              <w:t xml:space="preserve">Q3 — Low Volume + Low Volatility (bottom left): Neglected value stocks or stable micro-caps. Potentially undervalued by the market due to lack of analyst coverage. Suitable for value investors with long time horizons.</w:t>
            </w:r>
          </w:p>
          <w:p>
            <w:pPr>
              <w:spacing w:after="6" w:before="6"/>
            </w:pPr>
            <w:r>
              <w:rPr>
                <w:b/>
                <w:bCs/>
                <w:color w:val="C0392B"/>
                <w:sz w:val="22"/>
                <w:szCs w:val="22"/>
              </w:rPr>
              <w:t xml:space="preserve">Q4: Danger Zone:  </w:t>
            </w:r>
            <w:r>
              <w:rPr>
                <w:color w:val="1A1A2E"/>
                <w:sz w:val="22"/>
                <w:szCs w:val="22"/>
              </w:rPr>
              <w:t xml:space="preserve">Q4 — Low Volume + High Volatility (top left): DANGER ZONE. These are thinly-traded, highly volatile stocks. This is where pump-and-dump schemes, illiquid options traps, and retail speculation disasters occur. Do not include in any institutional portfolio. Flag for compliance review if holdings exist here.</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Build a quadrant filter: allow users to select a quadrant via a slicer, and have all other visuals on the page filter to only show tickers in that quadrant. This lets the analyst deep-dive by risk profile rather than by ticker name.</w:t>
      </w:r>
    </w:p>
    <w:p>
      <w:pPr>
        <w:pStyle w:val="ListParagraph"/>
        <w:numPr>
          <w:ilvl w:val="0"/>
          <w:numId w:val="1"/>
        </w:numPr>
        <w:spacing w:after="4" w:before="4"/>
      </w:pPr>
      <w:r>
        <w:rPr>
          <w:color w:val="1A1A2E"/>
          <w:sz w:val="22"/>
          <w:szCs w:val="22"/>
        </w:rPr>
        <w:t xml:space="preserve">For portfolio construction teams: require that at least 60% of holdings by AUM fall in Q1 (blue chip) and no more than 10% fall in Q4 (danger zone). Make this constraint visible as a KPI card: '% of Portfolio in Q4: X%' with a red alert if it exceeds 10%.</w:t>
      </w:r>
    </w:p>
    <w:p>
      <w:pPr>
        <w:pStyle w:val="ListParagraph"/>
        <w:numPr>
          <w:ilvl w:val="0"/>
          <w:numId w:val="1"/>
        </w:numPr>
        <w:spacing w:after="4" w:before="4"/>
      </w:pPr>
      <w:r>
        <w:rPr>
          <w:color w:val="1A1A2E"/>
          <w:sz w:val="22"/>
          <w:szCs w:val="22"/>
        </w:rPr>
        <w:t xml:space="preserve">For quant strategies: the Q2 cluster is the most interesting for momentum-volatility strategies. Screen Q2 tickers with Sharpe &gt; 1 AND overbought_rate_pct &lt; 15% (not chronically overbought, still has room to run). This is the systematic momentum entry filter.</w:t>
      </w:r>
    </w:p>
    <w:p>
      <w:pPr>
        <w:spacing w:after="0" w:before="12"/>
      </w:pPr>
    </w:p>
    <w:p>
      <w:pPr>
        <w:pStyle w:val="Heading2"/>
        <w:spacing w:after="12" w:before="28"/>
        <w:rPr>
          <w:b/>
          <w:bCs/>
          <w:color w:val="2E6DA4"/>
          <w:sz w:val="32"/>
          <w:szCs w:val="32"/>
        </w:rPr>
      </w:pPr>
      <w:r>
        <w:t xml:space="preserve">6.4  Visual 4 — Dividend Champions Analysis</w:t>
      </w:r>
    </w:p>
    <w:p>
      <w:pPr>
        <w:pStyle w:val="Heading3"/>
        <w:spacing w:after="8" w:before="20"/>
        <w:rPr>
          <w:b/>
          <w:bCs/>
          <w:color w:val="1E3A5F"/>
          <w:sz w:val="26"/>
          <w:szCs w:val="26"/>
        </w:rPr>
      </w:pPr>
      <w:r>
        <w:t xml:space="preserve">Data source:  v_dividend_champions  (total_dividends_paid, approx_dividend_yield_pct, num_dividend_events)</w:t>
      </w:r>
    </w:p>
    <w:p>
      <w:pPr>
        <w:spacing w:after="8" w:before="8"/>
        <w:jc w:val="both"/>
      </w:pPr>
      <w:r>
        <w:rPr>
          <w:color w:val="1A1A2E"/>
          <w:sz w:val="22"/>
          <w:szCs w:val="22"/>
        </w:rPr>
        <w:t xml:space="preserve">Bar chart of top 20 dividend-paying stocks by total_dividends_paid, with a secondary axis showing approx_dividend_yield_pct. Table below showing first_dividend_date through last_dividend_date to assess consistency.</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Income Generation:  </w:t>
            </w:r>
            <w:r>
              <w:rPr>
                <w:color w:val="1A1A2E"/>
                <w:sz w:val="22"/>
                <w:szCs w:val="22"/>
              </w:rPr>
              <w:t xml:space="preserve">Dividend yield % approximation (total_dividends / avg_close × 100): stocks with yield &gt; 4% are income-generating assets. In a low-interest-rate environment, these compete directly with bonds and are attractive to income investors.</w:t>
            </w:r>
          </w:p>
          <w:p>
            <w:pPr>
              <w:spacing w:after="6" w:before="6"/>
            </w:pPr>
            <w:r>
              <w:rPr>
                <w:b/>
                <w:bCs/>
                <w:color w:val="2E6DA4"/>
                <w:sz w:val="22"/>
                <w:szCs w:val="22"/>
              </w:rPr>
              <w:t xml:space="preserve">🔵 Dividend Consistency:  </w:t>
            </w:r>
            <w:r>
              <w:rPr>
                <w:color w:val="1A1A2E"/>
                <w:sz w:val="22"/>
                <w:szCs w:val="22"/>
              </w:rPr>
              <w:t xml:space="preserve">num_dividend_events: consistency matters as much as magnitude. A stock paying small, consistent quarterly dividends (high event count) is far more reliable than one paying large, infrequent special dividends. The former signals cash-flow stability; the latter often signals a one-time asset sale.</w:t>
            </w:r>
          </w:p>
          <w:p>
            <w:pPr>
              <w:spacing w:after="6" w:before="6"/>
            </w:pPr>
            <w:r>
              <w:rPr>
                <w:b/>
                <w:bCs/>
                <w:color w:val="2E6DA4"/>
                <w:sz w:val="22"/>
                <w:szCs w:val="22"/>
              </w:rPr>
              <w:t xml:space="preserve">🔵 Dividend History:  </w:t>
            </w:r>
            <w:r>
              <w:rPr>
                <w:color w:val="1A1A2E"/>
                <w:sz w:val="22"/>
                <w:szCs w:val="22"/>
              </w:rPr>
              <w:t xml:space="preserve">first_dividend_date vs last_dividend_date span: tickers with 5+ years of continuous dividend history have demonstrated the ability to sustain payouts through at least one market cycle. This is a key quality filter for income portfolios.</w:t>
            </w:r>
          </w:p>
          <w:p>
            <w:pPr>
              <w:spacing w:after="6" w:before="6"/>
            </w:pPr>
            <w:r>
              <w:rPr>
                <w:b/>
                <w:bCs/>
                <w:color w:val="C0392B"/>
                <w:sz w:val="22"/>
                <w:szCs w:val="22"/>
              </w:rPr>
              <w:t xml:space="preserve">Yield Trap Warning:  </w:t>
            </w:r>
            <w:r>
              <w:rPr>
                <w:color w:val="1A1A2E"/>
                <w:sz w:val="22"/>
                <w:szCs w:val="22"/>
              </w:rPr>
              <w:t xml:space="preserve">High dividend yield + LOSER direction in top_performers: the stock may be in a 'yield trap'. The price has fallen significantly (boosting the yield calculation), but the company may be in financial distress. Always check if dividends were maintained or cut during price declines.</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Build a 'Dividend Reinvestment Screener' view: filter v_dividend_champions for tickers where yield &gt; 3%, num_dividend_events &gt; 8, and coeff_variation_pct &lt; 30% (stable, dividend-paying stocks). This is the DRIP (Dividend Reinvestment Plan) candidate list.</w:t>
      </w:r>
    </w:p>
    <w:p>
      <w:pPr>
        <w:pStyle w:val="ListParagraph"/>
        <w:numPr>
          <w:ilvl w:val="0"/>
          <w:numId w:val="1"/>
        </w:numPr>
        <w:spacing w:after="4" w:before="4"/>
      </w:pPr>
      <w:r>
        <w:rPr>
          <w:color w:val="1A1A2E"/>
          <w:sz w:val="22"/>
          <w:szCs w:val="22"/>
        </w:rPr>
        <w:t xml:space="preserve">Create an annual 'Dividend Calendar' view using first_dividend_date and last_dividend_date patterns to estimate dividend schedule. Display as a Power BI calendar heatmap by month — helps income investors plan cash flow from their portfolio.</w:t>
      </w:r>
    </w:p>
    <w:p>
      <w:pPr>
        <w:pStyle w:val="ListParagraph"/>
        <w:numPr>
          <w:ilvl w:val="0"/>
          <w:numId w:val="1"/>
        </w:numPr>
        <w:spacing w:after="4" w:before="4"/>
      </w:pPr>
      <w:r>
        <w:rPr>
          <w:color w:val="1A1A2E"/>
          <w:sz w:val="22"/>
          <w:szCs w:val="22"/>
        </w:rPr>
        <w:t xml:space="preserve">Alert rule: if any existing portfolio holding's last_dividend_date is more than 6 months ago (suggesting a dividend cut), trigger a portfolio review notification. Dividend cuts are one of the strongest fundamental sell signals in income investing.</w:t>
      </w:r>
    </w:p>
    <w:p>
      <w:pPr>
        <w:spacing w:after="0" w:before="12"/>
      </w:pPr>
    </w:p>
    <w:p>
      <w:r>
        <w:br w:type="page"/>
      </w:r>
    </w:p>
    <w:p>
      <w:pPr>
        <w:pStyle w:val="Heading1"/>
        <w:pBdr>
          <w:bottom w:val="single" w:color="C8A951" w:sz="6" w:space="4"/>
        </w:pBdr>
        <w:spacing w:after="16" w:before="36"/>
        <w:rPr>
          <w:b/>
          <w:bCs/>
          <w:color w:val="1E3A5F"/>
          <w:sz w:val="40"/>
          <w:szCs w:val="40"/>
        </w:rPr>
      </w:pPr>
      <w:r>
        <w:t xml:space="preserve">7.  Streaming Window Insights (streaming_window_summary)</w:t>
      </w:r>
    </w:p>
    <w:p>
      <w:pPr>
        <w:spacing w:after="8" w:before="8"/>
        <w:jc w:val="both"/>
      </w:pPr>
      <w:r>
        <w:rPr>
          <w:color w:val="1A1A2E"/>
          <w:sz w:val="22"/>
          <w:szCs w:val="22"/>
        </w:rPr>
        <w:t xml:space="preserve">The streaming_window_summary table captures 1-minute aggregated windows from the Spark Structured Streaming job. It is the only truly real-time table in the pipeline and should be displayed on a separate 'Live' tab or as a drill-through from the main pages.</w:t>
      </w:r>
    </w:p>
    <w:p>
      <w:pPr>
        <w:spacing w:after="0" w:before="8"/>
      </w:pPr>
    </w:p>
    <w:p>
      <w:pPr>
        <w:pStyle w:val="Heading2"/>
        <w:spacing w:after="12" w:before="28"/>
        <w:rPr>
          <w:b/>
          <w:bCs/>
          <w:color w:val="2E6DA4"/>
          <w:sz w:val="32"/>
          <w:szCs w:val="32"/>
        </w:rPr>
      </w:pPr>
      <w:r>
        <w:t xml:space="preserve">7.1  Real-Time Price &amp; Volume per Ticker (1-min windows)</w:t>
      </w:r>
    </w:p>
    <w:p>
      <w:pPr>
        <w:pStyle w:val="Heading3"/>
        <w:spacing w:after="8" w:before="20"/>
        <w:rPr>
          <w:b/>
          <w:bCs/>
          <w:color w:val="1E3A5F"/>
          <w:sz w:val="26"/>
          <w:szCs w:val="26"/>
        </w:rPr>
      </w:pPr>
      <w:r>
        <w:t xml:space="preserve">Data source:  streaming_window_summary  (window_start, window_end, avg_close, total_volume, event_count)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Intraday Patterns:  </w:t>
            </w:r>
            <w:r>
              <w:rPr>
                <w:color w:val="1A1A2E"/>
                <w:sz w:val="22"/>
                <w:szCs w:val="22"/>
              </w:rPr>
              <w:t xml:space="preserve">Intraday volume distribution: does volume spike at market open and close (typical) or is it uniformly distributed (algorithmic trading)? Spikes outside normal hours indicate pre-market activity or after-hours news.</w:t>
            </w:r>
          </w:p>
          <w:p>
            <w:pPr>
              <w:spacing w:after="6" w:before="6"/>
            </w:pPr>
            <w:r>
              <w:rPr>
                <w:b/>
                <w:bCs/>
                <w:color w:val="2E6DA4"/>
                <w:sz w:val="22"/>
                <w:szCs w:val="22"/>
              </w:rPr>
              <w:t xml:space="preserve">🔵 Intraday Spikes:  </w:t>
            </w:r>
            <w:r>
              <w:rPr>
                <w:color w:val="1A1A2E"/>
                <w:sz w:val="22"/>
                <w:szCs w:val="22"/>
              </w:rPr>
              <w:t xml:space="preserve">avg_close within each window vs the daily avg_close from stock_summary: if a window's avg_close is significantly higher than the daily average, the stock experienced a intraday spike that may not be visible in end-of-day data.</w:t>
            </w:r>
          </w:p>
          <w:p>
            <w:pPr>
              <w:spacing w:after="6" w:before="6"/>
            </w:pPr>
            <w:r>
              <w:rPr>
                <w:b/>
                <w:bCs/>
                <w:color w:val="2E6DA4"/>
                <w:sz w:val="22"/>
                <w:szCs w:val="22"/>
              </w:rPr>
              <w:t xml:space="preserve">🔵 Activity Intensity:  </w:t>
            </w:r>
            <w:r>
              <w:rPr>
                <w:color w:val="1A1A2E"/>
                <w:sz w:val="22"/>
                <w:szCs w:val="22"/>
              </w:rPr>
              <w:t xml:space="preserve">event_count per window: measures how many individual price updates (Kafka events) occurred in that 1-minute window. Very low event_count = low trading activity = potential liquidity gap. Very high = market-moving event in progress.</w:t>
            </w:r>
          </w:p>
          <w:p>
            <w:pPr>
              <w:spacing w:after="6" w:before="6"/>
            </w:pPr>
            <w:r>
              <w:rPr>
                <w:b/>
                <w:bCs/>
                <w:color w:val="C0392B"/>
                <w:sz w:val="22"/>
                <w:szCs w:val="22"/>
              </w:rPr>
              <w:t xml:space="preserve">Data Quality Alert:  </w:t>
            </w:r>
            <w:r>
              <w:rPr>
                <w:color w:val="1A1A2E"/>
                <w:sz w:val="22"/>
                <w:szCs w:val="22"/>
              </w:rPr>
              <w:t xml:space="preserve">Windows with zero event_count (gaps in the stream): these indicate either a Kafka consumer lag event or a genuine trading halt. Both should trigger operational alerts. Monitor via dead_letter_query count.</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Display streaming_window_summary as an auto-refreshing Power BI tile (set refresh to 5-minute intervals — Power BI Pro maximum without Premium). Pin to a 'Live Trading Dashboard' that portfolio managers have open during market hours.</w:t>
      </w:r>
    </w:p>
    <w:p>
      <w:pPr>
        <w:pStyle w:val="ListParagraph"/>
        <w:numPr>
          <w:ilvl w:val="0"/>
          <w:numId w:val="1"/>
        </w:numPr>
        <w:spacing w:after="4" w:before="4"/>
      </w:pPr>
      <w:r>
        <w:rPr>
          <w:color w:val="1A1A2E"/>
          <w:sz w:val="22"/>
          <w:szCs w:val="22"/>
        </w:rPr>
        <w:t xml:space="preserve">Build a 'VWAP approximation': (SUM(avg_close × total_volume) / SUM(total_volume)) across windows for a given day. If current price is above VWAP, market is in 'buyer control' — a positive momentum signal for day traders.</w:t>
      </w:r>
    </w:p>
    <w:p>
      <w:pPr>
        <w:pStyle w:val="ListParagraph"/>
        <w:numPr>
          <w:ilvl w:val="0"/>
          <w:numId w:val="1"/>
        </w:numPr>
        <w:spacing w:after="4" w:before="4"/>
      </w:pPr>
      <w:r>
        <w:rPr>
          <w:color w:val="1A1A2E"/>
          <w:sz w:val="22"/>
          <w:szCs w:val="22"/>
        </w:rPr>
        <w:t xml:space="preserve">Use event_count trend across windows as a proxy for retail vs institutional activity. High event_count + stable price = many small trades (retail activity). Low event_count + large price moves = few large trades (institutional block trading).</w:t>
      </w:r>
    </w:p>
    <w:p>
      <w:pPr>
        <w:spacing w:after="0" w:before="12"/>
      </w:pPr>
    </w:p>
    <w:p>
      <w:r>
        <w:br w:type="page"/>
      </w:r>
    </w:p>
    <w:p>
      <w:pPr>
        <w:pStyle w:val="Heading1"/>
        <w:pBdr>
          <w:bottom w:val="single" w:color="C8A951" w:sz="6" w:space="4"/>
        </w:pBdr>
        <w:spacing w:after="16" w:before="36"/>
        <w:rPr>
          <w:b/>
          <w:bCs/>
          <w:color w:val="1E3A5F"/>
          <w:sz w:val="40"/>
          <w:szCs w:val="40"/>
        </w:rPr>
      </w:pPr>
      <w:r>
        <w:t xml:space="preserve">8.  Cross-Page Insights &amp; Advanced Analytical Patterns</w:t>
      </w:r>
    </w:p>
    <w:p>
      <w:pPr>
        <w:spacing w:after="8" w:before="8"/>
        <w:jc w:val="both"/>
      </w:pPr>
      <w:r>
        <w:rPr>
          <w:color w:val="1A1A2E"/>
          <w:sz w:val="22"/>
          <w:szCs w:val="22"/>
        </w:rPr>
        <w:t xml:space="preserve">The most powerful insights in this dashboard come from combining signals across multiple tables. These patterns require DAX measures that join data from different source tables.</w:t>
      </w:r>
    </w:p>
    <w:p>
      <w:pPr>
        <w:spacing w:after="0" w:before="8"/>
      </w:pPr>
    </w:p>
    <w:p>
      <w:pPr>
        <w:pStyle w:val="Heading2"/>
        <w:spacing w:after="12" w:before="28"/>
        <w:rPr>
          <w:b/>
          <w:bCs/>
          <w:color w:val="2E6DA4"/>
          <w:sz w:val="32"/>
          <w:szCs w:val="32"/>
        </w:rPr>
      </w:pPr>
      <w:r>
        <w:t xml:space="preserve">8.1  The Momentum Quality Score</w:t>
      </w:r>
    </w:p>
    <w:p>
      <w:pPr>
        <w:spacing w:after="8" w:before="8"/>
        <w:jc w:val="both"/>
      </w:pPr>
      <w:r>
        <w:rPr>
          <w:color w:val="1A1A2E"/>
          <w:sz w:val="22"/>
          <w:szCs w:val="22"/>
        </w:rPr>
        <w:t xml:space="preserve">Definition: A composite score that identifies stocks with genuine momentum (not speculation). Built from four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shd w:fill="1E3A5F" w:val="clear"/>
            <w:vAlign w:val="center"/>
          </w:tcPr>
          <w:p>
            <w:pPr>
              <w:jc w:val="center"/>
            </w:pPr>
            <w:r>
              <w:rPr>
                <w:b/>
                <w:bCs/>
                <w:color w:val="FFFFFF"/>
                <w:sz w:val="20"/>
                <w:szCs w:val="20"/>
              </w:rPr>
              <w:t xml:space="preserve">Component</w:t>
            </w:r>
          </w:p>
        </w:tc>
        <w:tc>
          <w:tcPr>
            <w:shd w:fill="1E3A5F" w:val="clear"/>
            <w:vAlign w:val="center"/>
          </w:tcPr>
          <w:p>
            <w:pPr>
              <w:jc w:val="center"/>
            </w:pPr>
            <w:r>
              <w:rPr>
                <w:b/>
                <w:bCs/>
                <w:color w:val="FFFFFF"/>
                <w:sz w:val="20"/>
                <w:szCs w:val="20"/>
              </w:rPr>
              <w:t xml:space="preserve">Source</w:t>
            </w:r>
          </w:p>
        </w:tc>
        <w:tc>
          <w:tcPr>
            <w:shd w:fill="1E3A5F" w:val="clear"/>
            <w:vAlign w:val="center"/>
          </w:tcPr>
          <w:p>
            <w:pPr>
              <w:jc w:val="center"/>
            </w:pPr>
            <w:r>
              <w:rPr>
                <w:b/>
                <w:bCs/>
                <w:color w:val="FFFFFF"/>
                <w:sz w:val="20"/>
                <w:szCs w:val="20"/>
              </w:rPr>
              <w:t xml:space="preserve">Weight</w:t>
            </w:r>
          </w:p>
        </w:tc>
        <w:tc>
          <w:tcPr>
            <w:shd w:fill="1E3A5F" w:val="clear"/>
            <w:vAlign w:val="center"/>
          </w:tcPr>
          <w:p>
            <w:pPr>
              <w:jc w:val="center"/>
            </w:pPr>
            <w:r>
              <w:rPr>
                <w:b/>
                <w:bCs/>
                <w:color w:val="FFFFFF"/>
                <w:sz w:val="20"/>
                <w:szCs w:val="20"/>
              </w:rPr>
              <w:t xml:space="preserve">Positive Signal</w:t>
            </w:r>
          </w:p>
        </w:tc>
      </w:tr>
      <w:tr>
        <w:tc>
          <w:tcPr>
            <w:shd w:fill="FFFFFF" w:val="clear"/>
          </w:tcPr>
          <w:p>
            <w:pPr>
              <w:jc w:val="left"/>
            </w:pPr>
            <w:r>
              <w:rPr>
                <w:color w:val="1A1A2E"/>
                <w:sz w:val="20"/>
                <w:szCs w:val="20"/>
              </w:rPr>
              <w:t xml:space="preserve">Period Return %</w:t>
            </w:r>
          </w:p>
        </w:tc>
        <w:tc>
          <w:tcPr>
            <w:shd w:fill="FFFFFF" w:val="clear"/>
          </w:tcPr>
          <w:p>
            <w:pPr>
              <w:jc w:val="center"/>
            </w:pPr>
            <w:r>
              <w:rPr>
                <w:color w:val="1A1A2E"/>
                <w:sz w:val="20"/>
                <w:szCs w:val="20"/>
              </w:rPr>
              <w:t xml:space="preserve">top_performers.pct_change</w:t>
            </w:r>
          </w:p>
        </w:tc>
        <w:tc>
          <w:tcPr>
            <w:shd w:fill="FFFFFF" w:val="clear"/>
          </w:tcPr>
          <w:p>
            <w:pPr>
              <w:jc w:val="center"/>
            </w:pPr>
            <w:r>
              <w:rPr>
                <w:color w:val="1A1A2E"/>
                <w:sz w:val="20"/>
                <w:szCs w:val="20"/>
              </w:rPr>
              <w:t xml:space="preserve">30%</w:t>
            </w:r>
          </w:p>
        </w:tc>
        <w:tc>
          <w:tcPr>
            <w:shd w:fill="FFFFFF" w:val="clear"/>
          </w:tcPr>
          <w:p>
            <w:pPr>
              <w:jc w:val="center"/>
            </w:pPr>
            <w:r>
              <w:rPr>
                <w:color w:val="1A1A2E"/>
                <w:sz w:val="20"/>
                <w:szCs w:val="20"/>
              </w:rPr>
              <w:t xml:space="preserve">High positive return</w:t>
            </w:r>
          </w:p>
        </w:tc>
      </w:tr>
      <w:tr>
        <w:tc>
          <w:tcPr>
            <w:shd w:fill="F4F6F9" w:val="clear"/>
          </w:tcPr>
          <w:p>
            <w:pPr>
              <w:jc w:val="left"/>
            </w:pPr>
            <w:r>
              <w:rPr>
                <w:color w:val="1A1A2E"/>
                <w:sz w:val="20"/>
                <w:szCs w:val="20"/>
              </w:rPr>
              <w:t xml:space="preserve">Win Rate %</w:t>
            </w:r>
          </w:p>
        </w:tc>
        <w:tc>
          <w:tcPr>
            <w:shd w:fill="F4F6F9" w:val="clear"/>
          </w:tcPr>
          <w:p>
            <w:pPr>
              <w:jc w:val="center"/>
            </w:pPr>
            <w:r>
              <w:rPr>
                <w:color w:val="1A1A2E"/>
                <w:sz w:val="20"/>
                <w:szCs w:val="20"/>
              </w:rPr>
              <w:t xml:space="preserve">price_volatility.win_rate_pct</w:t>
            </w:r>
          </w:p>
        </w:tc>
        <w:tc>
          <w:tcPr>
            <w:shd w:fill="F4F6F9" w:val="clear"/>
          </w:tcPr>
          <w:p>
            <w:pPr>
              <w:jc w:val="center"/>
            </w:pPr>
            <w:r>
              <w:rPr>
                <w:color w:val="1A1A2E"/>
                <w:sz w:val="20"/>
                <w:szCs w:val="20"/>
              </w:rPr>
              <w:t xml:space="preserve">25%</w:t>
            </w:r>
          </w:p>
        </w:tc>
        <w:tc>
          <w:tcPr>
            <w:shd w:fill="F4F6F9" w:val="clear"/>
          </w:tcPr>
          <w:p>
            <w:pPr>
              <w:jc w:val="center"/>
            </w:pPr>
            <w:r>
              <w:rPr>
                <w:color w:val="1A1A2E"/>
                <w:sz w:val="20"/>
                <w:szCs w:val="20"/>
              </w:rPr>
              <w:t xml:space="preserve">&gt; 55% green days</w:t>
            </w:r>
          </w:p>
        </w:tc>
      </w:tr>
      <w:tr>
        <w:tc>
          <w:tcPr>
            <w:shd w:fill="FFFFFF" w:val="clear"/>
          </w:tcPr>
          <w:p>
            <w:pPr>
              <w:jc w:val="left"/>
            </w:pPr>
            <w:r>
              <w:rPr>
                <w:color w:val="1A1A2E"/>
                <w:sz w:val="20"/>
                <w:szCs w:val="20"/>
              </w:rPr>
              <w:t xml:space="preserve">Volume Trend</w:t>
            </w:r>
          </w:p>
        </w:tc>
        <w:tc>
          <w:tcPr>
            <w:shd w:fill="FFFFFF" w:val="clear"/>
          </w:tcPr>
          <w:p>
            <w:pPr>
              <w:jc w:val="center"/>
            </w:pPr>
            <w:r>
              <w:rPr>
                <w:color w:val="1A1A2E"/>
                <w:sz w:val="20"/>
                <w:szCs w:val="20"/>
              </w:rPr>
              <w:t xml:space="preserve">volume_leaders.high_volume_days ratio</w:t>
            </w:r>
          </w:p>
        </w:tc>
        <w:tc>
          <w:tcPr>
            <w:shd w:fill="FFFFFF" w:val="clear"/>
          </w:tcPr>
          <w:p>
            <w:pPr>
              <w:jc w:val="center"/>
            </w:pPr>
            <w:r>
              <w:rPr>
                <w:color w:val="1A1A2E"/>
                <w:sz w:val="20"/>
                <w:szCs w:val="20"/>
              </w:rPr>
              <w:t xml:space="preserve">25%</w:t>
            </w:r>
          </w:p>
        </w:tc>
        <w:tc>
          <w:tcPr>
            <w:shd w:fill="FFFFFF" w:val="clear"/>
          </w:tcPr>
          <w:p>
            <w:pPr>
              <w:jc w:val="center"/>
            </w:pPr>
            <w:r>
              <w:rPr>
                <w:color w:val="1A1A2E"/>
                <w:sz w:val="20"/>
                <w:szCs w:val="20"/>
              </w:rPr>
              <w:t xml:space="preserve">Increasing high-vol days</w:t>
            </w:r>
          </w:p>
        </w:tc>
      </w:tr>
      <w:tr>
        <w:tc>
          <w:tcPr>
            <w:shd w:fill="F4F6F9" w:val="clear"/>
          </w:tcPr>
          <w:p>
            <w:pPr>
              <w:jc w:val="left"/>
            </w:pPr>
            <w:r>
              <w:rPr>
                <w:color w:val="1A1A2E"/>
                <w:sz w:val="20"/>
                <w:szCs w:val="20"/>
              </w:rPr>
              <w:t xml:space="preserve">Stochastic Bias</w:t>
            </w:r>
          </w:p>
        </w:tc>
        <w:tc>
          <w:tcPr>
            <w:shd w:fill="F4F6F9" w:val="clear"/>
          </w:tcPr>
          <w:p>
            <w:pPr>
              <w:jc w:val="center"/>
            </w:pPr>
            <w:r>
              <w:rPr>
                <w:color w:val="1A1A2E"/>
                <w:sz w:val="20"/>
                <w:szCs w:val="20"/>
              </w:rPr>
              <w:t xml:space="preserve">stochastic_signals: k_above_d / rows_with_stoch</w:t>
            </w:r>
          </w:p>
        </w:tc>
        <w:tc>
          <w:tcPr>
            <w:shd w:fill="F4F6F9" w:val="clear"/>
          </w:tcPr>
          <w:p>
            <w:pPr>
              <w:jc w:val="center"/>
            </w:pPr>
            <w:r>
              <w:rPr>
                <w:color w:val="1A1A2E"/>
                <w:sz w:val="20"/>
                <w:szCs w:val="20"/>
              </w:rPr>
              <w:t xml:space="preserve">20%</w:t>
            </w:r>
          </w:p>
        </w:tc>
        <w:tc>
          <w:tcPr>
            <w:shd w:fill="F4F6F9" w:val="clear"/>
          </w:tcPr>
          <w:p>
            <w:pPr>
              <w:jc w:val="center"/>
            </w:pPr>
            <w:r>
              <w:rPr>
                <w:color w:val="1A1A2E"/>
                <w:sz w:val="20"/>
                <w:szCs w:val="20"/>
              </w:rPr>
              <w:t xml:space="preserve">&gt; 50% days K &gt; D</w:t>
            </w:r>
          </w:p>
        </w:tc>
      </w:tr>
    </w:tbl>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Business Value</w:t>
            </w:r>
          </w:p>
          <w:p>
            <w:pPr>
              <w:spacing w:after="6" w:before="6"/>
            </w:pPr>
            <w:r>
              <w:rPr>
                <w:b/>
                <w:bCs/>
                <w:color w:val="1A7A4A"/>
                <w:sz w:val="22"/>
                <w:szCs w:val="22"/>
              </w:rPr>
              <w:t xml:space="preserve">Primary Screen:  </w:t>
            </w:r>
            <w:r>
              <w:rPr>
                <w:color w:val="1A1A2E"/>
                <w:sz w:val="22"/>
                <w:szCs w:val="22"/>
              </w:rPr>
              <w:t xml:space="preserve">Tickers scoring in the top quartile of the Momentum Quality Score have historically demonstrated the best risk-adjusted returns. This score is more reliable than raw return percentage alone because it filters out high-return-but-fragile momentum (lottery stocks). Use this as the primary filter for systematic equity selection.</w:t>
            </w:r>
          </w:p>
        </w:tc>
      </w:tr>
    </w:tbl>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Build the Momentum Quality Score as a calculated column in dim_ticker (computed via Power Query from the aggregated table values). Publish a monthly 'Top 20 Momentum Quality Stocks' report as a Power BI subscription email.</w:t>
      </w:r>
    </w:p>
    <w:p>
      <w:pPr>
        <w:pStyle w:val="ListParagraph"/>
        <w:numPr>
          <w:ilvl w:val="0"/>
          <w:numId w:val="1"/>
        </w:numPr>
        <w:spacing w:after="4" w:before="4"/>
      </w:pPr>
      <w:r>
        <w:rPr>
          <w:color w:val="1A1A2E"/>
          <w:sz w:val="22"/>
          <w:szCs w:val="22"/>
        </w:rPr>
        <w:t xml:space="preserve">Back-test the score retrospectively using the full history in monthly_performance. Compare the top-quartile tickers' subsequent 3-month performance against the bottom-quartile tickers. Document the result in the investment committee presentation.</w:t>
      </w:r>
    </w:p>
    <w:p>
      <w:pPr>
        <w:spacing w:after="0" w:before="12"/>
      </w:pPr>
    </w:p>
    <w:p>
      <w:pPr>
        <w:pStyle w:val="Heading2"/>
        <w:spacing w:after="12" w:before="28"/>
        <w:rPr>
          <w:b/>
          <w:bCs/>
          <w:color w:val="2E6DA4"/>
          <w:sz w:val="32"/>
          <w:szCs w:val="32"/>
        </w:rPr>
      </w:pPr>
      <w:r>
        <w:t xml:space="preserve">8.2  The Sector Rotation Pattern</w:t>
      </w:r>
    </w:p>
    <w:p>
      <w:pPr>
        <w:spacing w:after="8" w:before="8"/>
        <w:jc w:val="both"/>
      </w:pPr>
      <w:r>
        <w:rPr>
          <w:color w:val="1A1A2E"/>
          <w:sz w:val="22"/>
          <w:szCs w:val="22"/>
        </w:rPr>
        <w:t xml:space="preserve">Even without an explicit sector dimension, proxy sector rotation is detectable using daily_market_breadth + stochastic_signals clustering: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Detection Method</w:t>
            </w:r>
          </w:p>
          <w:p>
            <w:pPr>
              <w:pStyle w:val="ListParagraph"/>
              <w:numPr>
                <w:ilvl w:val="0"/>
                <w:numId w:val="1"/>
              </w:numPr>
              <w:spacing w:after="4" w:before="4"/>
            </w:pPr>
            <w:r>
              <w:rPr>
                <w:color w:val="1A1A2E"/>
                <w:sz w:val="22"/>
                <w:szCs w:val="22"/>
              </w:rPr>
              <w:t xml:space="preserve">Step 1: Identify tickers where stochk transitions from &lt; 20 (oversold) to &gt; 50 within 10 trading days — these are 'bouncing from oversold'.</w:t>
            </w:r>
          </w:p>
          <w:p>
            <w:pPr>
              <w:pStyle w:val="ListParagraph"/>
              <w:numPr>
                <w:ilvl w:val="0"/>
                <w:numId w:val="1"/>
              </w:numPr>
              <w:spacing w:after="4" w:before="4"/>
            </w:pPr>
            <w:r>
              <w:rPr>
                <w:color w:val="1A1A2E"/>
                <w:sz w:val="22"/>
                <w:szCs w:val="22"/>
              </w:rPr>
              <w:t xml:space="preserve">Step 2: If multiple such tickers share common characteristics in dim_ticker (similar names, industry patterns), this signals sector recovery.</w:t>
            </w:r>
          </w:p>
          <w:p>
            <w:pPr>
              <w:pStyle w:val="ListParagraph"/>
              <w:numPr>
                <w:ilvl w:val="0"/>
                <w:numId w:val="1"/>
              </w:numPr>
              <w:spacing w:after="4" w:before="4"/>
            </w:pPr>
            <w:r>
              <w:rPr>
                <w:color w:val="1A1A2E"/>
                <w:sz w:val="22"/>
                <w:szCs w:val="22"/>
              </w:rPr>
              <w:t xml:space="preserve">Step 3: Cross-reference with daily_market_breadth — if the advance/decline ratio is rising simultaneously, the sector rotation is broad-based (healthy) rather than stock-specific.</w:t>
            </w:r>
          </w:p>
        </w:tc>
      </w:tr>
    </w:tbl>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Build a 'Recovery Watch' bookmark in Power BI that filters the scatter chart (Page 4) to show only tickers that were oversold 30 days ago and are now above their MA 20. This is the sector rotation entry monitor.</w:t>
      </w:r>
    </w:p>
    <w:p>
      <w:pPr>
        <w:spacing w:after="0" w:before="12"/>
      </w:pPr>
    </w:p>
    <w:p>
      <w:pPr>
        <w:pStyle w:val="Heading2"/>
        <w:spacing w:after="12" w:before="28"/>
        <w:rPr>
          <w:b/>
          <w:bCs/>
          <w:color w:val="2E6DA4"/>
          <w:sz w:val="32"/>
          <w:szCs w:val="32"/>
        </w:rPr>
      </w:pPr>
      <w:r>
        <w:t xml:space="preserve">8.3  The Corporate Event Impact Pattern</w:t>
      </w:r>
    </w:p>
    <w:p>
      <w:pPr>
        <w:spacing w:after="8" w:before="8"/>
        <w:jc w:val="both"/>
      </w:pPr>
      <w:r>
        <w:rPr>
          <w:color w:val="1A1A2E"/>
          <w:sz w:val="22"/>
          <w:szCs w:val="22"/>
        </w:rPr>
        <w:t xml:space="preserve">Stock splits (from stock_summary.num_splits) and dividend events (from dividend_analysis) create measurable price impact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Split Impact Analysis</w:t>
            </w:r>
          </w:p>
          <w:p>
            <w:pPr>
              <w:spacing w:after="6" w:before="6"/>
            </w:pPr>
            <w:r>
              <w:rPr>
                <w:b/>
                <w:bCs/>
                <w:color w:val="2E6DA4"/>
                <w:sz w:val="22"/>
                <w:szCs w:val="22"/>
              </w:rPr>
              <w:t xml:space="preserve">🔵 Split Effect:  </w:t>
            </w:r>
            <w:r>
              <w:rPr>
                <w:color w:val="1A1A2E"/>
                <w:sz w:val="22"/>
                <w:szCs w:val="22"/>
              </w:rPr>
              <w:t xml:space="preserve">Post-split stocks in top_performers with direction = GAINER: stock splits are often associated with retail investor enthusiasm and increased trading activity. The pipeline captures this as a spike in volume_leaders.high_volume_days in the period following the split.</w:t>
            </w:r>
          </w:p>
          <w:p>
            <w:pPr>
              <w:spacing w:after="6" w:before="6"/>
            </w:pPr>
            <w:r>
              <w:rPr>
                <w:b/>
                <w:bCs/>
                <w:color w:val="2E6DA4"/>
                <w:sz w:val="22"/>
                <w:szCs w:val="22"/>
              </w:rPr>
              <w:t xml:space="preserve">🔵 Dividend Initiation:  </w:t>
            </w:r>
            <w:r>
              <w:rPr>
                <w:color w:val="1A1A2E"/>
                <w:sz w:val="22"/>
                <w:szCs w:val="22"/>
              </w:rPr>
              <w:t xml:space="preserve">Dividend initiations (first_dividend_date recent): companies initiating dividends for the first time often experience a positive price re-rating as income investors add the stock to their watchlists. Filter dividend_analysis for first_dividend_date &lt; 2 years ago AND approx_dividend_yield_pct &gt; 2% to find recent initiators.</w:t>
            </w:r>
          </w:p>
        </w:tc>
      </w:tr>
    </w:tbl>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Create a 'Corporate Events Calendar' visual in Power BI using stock split dates and dividend dates from the analytics tables. Overlay this with the price trend on the Ticker Deep-Dive page to visualise the pre- and post-event price behaviour.</w:t>
      </w:r>
    </w:p>
    <w:p>
      <w:pPr>
        <w:pStyle w:val="ListParagraph"/>
        <w:numPr>
          <w:ilvl w:val="0"/>
          <w:numId w:val="1"/>
        </w:numPr>
        <w:spacing w:after="4" w:before="4"/>
      </w:pPr>
      <w:r>
        <w:rPr>
          <w:color w:val="1A1A2E"/>
          <w:sz w:val="22"/>
          <w:szCs w:val="22"/>
        </w:rPr>
        <w:t xml:space="preserve">Alert rule: when any portfolio ticker shows num_splits &gt; 0 in the most recent data load, flag it for communication to retail-facing advisors — splits are marketing events that attract retail attention and often generate near-term price momentum.</w:t>
      </w:r>
    </w:p>
    <w:p>
      <w:pPr>
        <w:spacing w:after="0" w:before="12"/>
      </w:pPr>
    </w:p>
    <w:p>
      <w:r>
        <w:br w:type="page"/>
      </w:r>
    </w:p>
    <w:p>
      <w:pPr>
        <w:pStyle w:val="Heading1"/>
        <w:pBdr>
          <w:bottom w:val="single" w:color="C8A951" w:sz="6" w:space="4"/>
        </w:pBdr>
        <w:spacing w:after="16" w:before="36"/>
        <w:rPr>
          <w:b/>
          <w:bCs/>
          <w:color w:val="1E3A5F"/>
          <w:sz w:val="40"/>
          <w:szCs w:val="40"/>
        </w:rPr>
      </w:pPr>
      <w:r>
        <w:t xml:space="preserve">9.  Data Quality &amp; Operational Dashboard Insights</w:t>
      </w:r>
    </w:p>
    <w:p>
      <w:pPr>
        <w:spacing w:after="8" w:before="8"/>
        <w:jc w:val="both"/>
      </w:pPr>
      <w:r>
        <w:rPr>
          <w:color w:val="1A1A2E"/>
          <w:sz w:val="22"/>
          <w:szCs w:val="22"/>
        </w:rPr>
        <w:t xml:space="preserve">A professional analytics dashboard must include data quality monitoring. Without it, analysts cannot trust the numbers they see. These insights are drawn from the pipeline's dead-letter topic and validation statistics.</w:t>
      </w:r>
    </w:p>
    <w:p>
      <w:pPr>
        <w:spacing w:after="0" w:before="8"/>
      </w:pPr>
    </w:p>
    <w:p>
      <w:pPr>
        <w:pStyle w:val="Heading2"/>
        <w:spacing w:after="12" w:before="28"/>
        <w:rPr>
          <w:b/>
          <w:bCs/>
          <w:color w:val="2E6DA4"/>
          <w:sz w:val="32"/>
          <w:szCs w:val="32"/>
        </w:rPr>
      </w:pPr>
      <w:r>
        <w:t xml:space="preserve">9.1  Pipeline Health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D6E4F0" w:val="clear"/>
            <w:tcMar>
              <w:top w:type="dxa" w:w="144"/>
              <w:left w:type="dxa" w:w="172"/>
              <w:bottom w:type="dxa" w:w="144"/>
              <w:right w:type="dxa" w:w="172"/>
            </w:tcMar>
            <w:vAlign w:val="center"/>
          </w:tcPr>
          <w:p>
            <w:pPr>
              <w:jc w:val="center"/>
            </w:pPr>
            <w:r>
              <w:rPr>
                <w:b/>
                <w:bCs/>
                <w:color w:val="2E6DA4"/>
                <w:sz w:val="44"/>
                <w:szCs w:val="44"/>
              </w:rPr>
              <w:t xml:space="preserve">Millions</w:t>
            </w:r>
          </w:p>
          <w:p>
            <w:pPr>
              <w:jc w:val="center"/>
            </w:pPr>
            <w:r>
              <w:rPr>
                <w:b/>
                <w:bCs/>
                <w:color w:val="1E3A5F"/>
                <w:sz w:val="20"/>
                <w:szCs w:val="20"/>
              </w:rPr>
              <w:t xml:space="preserve">Total Events Ingested</w:t>
            </w:r>
          </w:p>
          <w:p>
            <w:pPr>
              <w:jc w:val="center"/>
            </w:pPr>
            <w:r>
              <w:rPr>
                <w:color w:val="777777"/>
                <w:sz w:val="18"/>
                <w:szCs w:val="18"/>
              </w:rPr>
              <w:t xml:space="preserve">stock_summary total rows</w:t>
            </w:r>
          </w:p>
        </w:tc>
        <w:tc>
          <w:tcPr>
            <w:shd w:fill="D6E4F0" w:val="clear"/>
            <w:tcMar>
              <w:top w:type="dxa" w:w="144"/>
              <w:left w:type="dxa" w:w="172"/>
              <w:bottom w:type="dxa" w:w="144"/>
              <w:right w:type="dxa" w:w="172"/>
            </w:tcMar>
            <w:vAlign w:val="center"/>
          </w:tcPr>
          <w:p>
            <w:pPr>
              <w:jc w:val="center"/>
            </w:pPr>
            <w:r>
              <w:rPr>
                <w:b/>
                <w:bCs/>
                <w:color w:val="2E6DA4"/>
                <w:sz w:val="44"/>
                <w:szCs w:val="44"/>
              </w:rPr>
              <w:t xml:space="preserve">&gt; 99%</w:t>
            </w:r>
          </w:p>
          <w:p>
            <w:pPr>
              <w:jc w:val="center"/>
            </w:pPr>
            <w:r>
              <w:rPr>
                <w:b/>
                <w:bCs/>
                <w:color w:val="1E3A5F"/>
                <w:sz w:val="20"/>
                <w:szCs w:val="20"/>
              </w:rPr>
              <w:t xml:space="preserve">Validation Pass Rate</w:t>
            </w:r>
          </w:p>
          <w:p>
            <w:pPr>
              <w:jc w:val="center"/>
            </w:pPr>
            <w:r>
              <w:rPr>
                <w:color w:val="777777"/>
                <w:sz w:val="18"/>
                <w:szCs w:val="18"/>
              </w:rPr>
              <w:t xml:space="preserve">M1 consumer stats</w:t>
            </w:r>
          </w:p>
        </w:tc>
        <w:tc>
          <w:tcPr>
            <w:shd w:fill="D6E4F0" w:val="clear"/>
            <w:tcMar>
              <w:top w:type="dxa" w:w="144"/>
              <w:left w:type="dxa" w:w="172"/>
              <w:bottom w:type="dxa" w:w="144"/>
              <w:right w:type="dxa" w:w="172"/>
            </w:tcMar>
            <w:vAlign w:val="center"/>
          </w:tcPr>
          <w:p>
            <w:pPr>
              <w:jc w:val="center"/>
            </w:pPr>
            <w:r>
              <w:rPr>
                <w:b/>
                <w:bCs/>
                <w:color w:val="2E6DA4"/>
                <w:sz w:val="44"/>
                <w:szCs w:val="44"/>
              </w:rPr>
              <w:t xml:space="preserve">&lt; 1%</w:t>
            </w:r>
          </w:p>
          <w:p>
            <w:pPr>
              <w:jc w:val="center"/>
            </w:pPr>
            <w:r>
              <w:rPr>
                <w:b/>
                <w:bCs/>
                <w:color w:val="1E3A5F"/>
                <w:sz w:val="20"/>
                <w:szCs w:val="20"/>
              </w:rPr>
              <w:t xml:space="preserve">Dead Letter Rate</w:t>
            </w:r>
          </w:p>
          <w:p>
            <w:pPr>
              <w:jc w:val="center"/>
            </w:pPr>
            <w:r>
              <w:rPr>
                <w:color w:val="777777"/>
                <w:sz w:val="18"/>
                <w:szCs w:val="18"/>
              </w:rPr>
              <w:t xml:space="preserve">invalid events %</w:t>
            </w:r>
          </w:p>
        </w:tc>
        <w:tc>
          <w:tcPr>
            <w:shd w:fill="D6E4F0" w:val="clear"/>
            <w:tcMar>
              <w:top w:type="dxa" w:w="144"/>
              <w:left w:type="dxa" w:w="172"/>
              <w:bottom w:type="dxa" w:w="144"/>
              <w:right w:type="dxa" w:w="172"/>
            </w:tcMar>
            <w:vAlign w:val="center"/>
          </w:tcPr>
          <w:p>
            <w:pPr>
              <w:jc w:val="center"/>
            </w:pPr>
            <w:r>
              <w:rPr>
                <w:b/>
                <w:bCs/>
                <w:color w:val="2E6DA4"/>
                <w:sz w:val="44"/>
                <w:szCs w:val="44"/>
              </w:rPr>
              <w:t xml:space="preserve">Count</w:t>
            </w:r>
          </w:p>
          <w:p>
            <w:pPr>
              <w:jc w:val="center"/>
            </w:pPr>
            <w:r>
              <w:rPr>
                <w:b/>
                <w:bCs/>
                <w:color w:val="1E3A5F"/>
                <w:sz w:val="20"/>
                <w:szCs w:val="20"/>
              </w:rPr>
              <w:t xml:space="preserve">Tickers with Full History</w:t>
            </w:r>
          </w:p>
          <w:p>
            <w:pPr>
              <w:jc w:val="center"/>
            </w:pPr>
            <w:r>
              <w:rPr>
                <w:color w:val="777777"/>
                <w:sz w:val="18"/>
                <w:szCs w:val="18"/>
              </w:rPr>
              <w:t xml:space="preserve">trading_days &gt; 250</w:t>
            </w:r>
          </w:p>
        </w:tc>
      </w:tr>
    </w:tbl>
    <w:p>
      <w:pPr>
        <w:spacing w:after="0" w:before="12"/>
      </w:pPr>
    </w:p>
    <w:p>
      <w:pPr>
        <w:pStyle w:val="Heading2"/>
        <w:spacing w:after="12" w:before="28"/>
        <w:rPr>
          <w:b/>
          <w:bCs/>
          <w:color w:val="2E6DA4"/>
          <w:sz w:val="32"/>
          <w:szCs w:val="32"/>
        </w:rPr>
      </w:pPr>
      <w:r>
        <w:t xml:space="preserve">9.2  Data Coverage Analysis</w:t>
      </w:r>
    </w:p>
    <w:p>
      <w:pPr>
        <w:pStyle w:val="Heading3"/>
        <w:spacing w:after="8" w:before="20"/>
        <w:rPr>
          <w:b/>
          <w:bCs/>
          <w:color w:val="1E3A5F"/>
          <w:sz w:val="26"/>
          <w:szCs w:val="26"/>
        </w:rPr>
      </w:pPr>
      <w:r>
        <w:t xml:space="preserve">Data source:  stock_summary  (trading_days, first_date, last_date)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4F6F9" w:val="clear"/>
            <w:tcMar>
              <w:top w:type="dxa" w:w="172"/>
              <w:left w:type="dxa" w:w="216"/>
              <w:bottom w:type="dxa" w:w="172"/>
              <w:right w:type="dxa" w:w="216"/>
            </w:tcMar>
          </w:tcPr>
          <w:p>
            <w:pPr>
              <w:spacing w:after="8" w:before="8"/>
            </w:pPr>
            <w:r>
              <w:rPr>
                <w:b/>
                <w:bCs/>
                <w:color w:val="1E3A5F"/>
                <w:sz w:val="26"/>
                <w:szCs w:val="26"/>
              </w:rPr>
              <w:t xml:space="preserve">What this insight tells you</w:t>
            </w:r>
          </w:p>
          <w:p>
            <w:pPr>
              <w:spacing w:after="6" w:before="6"/>
            </w:pPr>
            <w:r>
              <w:rPr>
                <w:b/>
                <w:bCs/>
                <w:color w:val="2E6DA4"/>
                <w:sz w:val="22"/>
                <w:szCs w:val="22"/>
              </w:rPr>
              <w:t xml:space="preserve">🔵 Coverage Warning:  </w:t>
            </w:r>
            <w:r>
              <w:rPr>
                <w:color w:val="1A1A2E"/>
                <w:sz w:val="22"/>
                <w:szCs w:val="22"/>
              </w:rPr>
              <w:t xml:space="preserve">Tickers where trading_days &lt; 50: these stocks have insufficient data for reliable moving average or volatility calculations. Flag them as 'Limited Data' in dim_ticker and exclude from any statistical analysis requiring 200+ data points.</w:t>
            </w:r>
          </w:p>
          <w:p>
            <w:pPr>
              <w:spacing w:after="6" w:before="6"/>
            </w:pPr>
            <w:r>
              <w:rPr>
                <w:b/>
                <w:bCs/>
                <w:color w:val="2E6DA4"/>
                <w:sz w:val="22"/>
                <w:szCs w:val="22"/>
              </w:rPr>
              <w:t xml:space="preserve">🔵 Delisting Alert:  </w:t>
            </w:r>
            <w:r>
              <w:rPr>
                <w:color w:val="1A1A2E"/>
                <w:sz w:val="22"/>
                <w:szCs w:val="22"/>
              </w:rPr>
              <w:t xml:space="preserve">Tickers where last_date is more than 5 trading days behind the most recent date in the dataset: these stocks may have been delisted, suspended, or merged. The pipeline will continue to show historical data but no new events will arrive. Flag as 'Potentially Delisted'.</w:t>
            </w:r>
          </w:p>
          <w:p>
            <w:pPr>
              <w:spacing w:after="6" w:before="6"/>
            </w:pPr>
            <w:r>
              <w:rPr>
                <w:b/>
                <w:bCs/>
                <w:color w:val="2E6DA4"/>
                <w:sz w:val="22"/>
                <w:szCs w:val="22"/>
              </w:rPr>
              <w:t xml:space="preserve">🔵 Trading Halt History:  </w:t>
            </w:r>
            <w:r>
              <w:rPr>
                <w:color w:val="1A1A2E"/>
                <w:sz w:val="22"/>
                <w:szCs w:val="22"/>
              </w:rPr>
              <w:t xml:space="preserve">Gap analysis: if first_date to last_date span is 10 years but trading_days is only 1,000 (should be ~2,500), the stock has significant trading halt history. This is a red flag for governance issues (SEC suspensions, bankruptcy proceedings).</w:t>
            </w:r>
          </w:p>
        </w:tc>
      </w:tr>
    </w:tbl>
    <w:p>
      <w:pPr>
        <w:spacing w:after="0" w:before="8"/>
      </w:pPr>
    </w:p>
    <w:p>
      <w:pPr>
        <w:pStyle w:val="Heading3"/>
        <w:spacing w:after="8" w:before="20"/>
        <w:rPr>
          <w:b/>
          <w:bCs/>
          <w:color w:val="1E3A5F"/>
          <w:sz w:val="26"/>
          <w:szCs w:val="26"/>
        </w:rPr>
      </w:pPr>
      <w:r>
        <w:t xml:space="preserve">Business Recommendation:</w:t>
      </w:r>
    </w:p>
    <w:p>
      <w:pPr>
        <w:pStyle w:val="ListParagraph"/>
        <w:numPr>
          <w:ilvl w:val="0"/>
          <w:numId w:val="1"/>
        </w:numPr>
        <w:spacing w:after="4" w:before="4"/>
      </w:pPr>
      <w:r>
        <w:rPr>
          <w:color w:val="1A1A2E"/>
          <w:sz w:val="22"/>
          <w:szCs w:val="22"/>
        </w:rPr>
        <w:t xml:space="preserve">Build a 'Data Health Score' per ticker: (trading_days / expected_days × 50) + (last_date recency score × 50). Expected days = (last_date - first_date) × 0.7 (accounting for weekends and holidays). Score &lt; 70 = unreliable data. Display this as a column in the ticker detail tables on every page.</w:t>
      </w:r>
    </w:p>
    <w:p>
      <w:pPr>
        <w:pStyle w:val="ListParagraph"/>
        <w:numPr>
          <w:ilvl w:val="0"/>
          <w:numId w:val="1"/>
        </w:numPr>
        <w:spacing w:after="4" w:before="4"/>
      </w:pPr>
      <w:r>
        <w:rPr>
          <w:color w:val="1A1A2E"/>
          <w:sz w:val="22"/>
          <w:szCs w:val="22"/>
        </w:rPr>
        <w:t xml:space="preserve">Implement a 'Stale Data' alert: if any ticker's last_date in the Power BI model is more than 3 trading days behind today's date during market hours, display a warning banner on the dashboard. Use Power BI conditional formatting on the date KPI card.</w:t>
      </w:r>
    </w:p>
    <w:p>
      <w:pPr>
        <w:spacing w:after="0" w:before="12"/>
      </w:pPr>
    </w:p>
    <w:p>
      <w:r>
        <w:br w:type="page"/>
      </w:r>
    </w:p>
    <w:p>
      <w:pPr>
        <w:pStyle w:val="Heading1"/>
        <w:pBdr>
          <w:bottom w:val="single" w:color="C8A951" w:sz="6" w:space="4"/>
        </w:pBdr>
        <w:spacing w:after="16" w:before="36"/>
        <w:rPr>
          <w:b/>
          <w:bCs/>
          <w:color w:val="1E3A5F"/>
          <w:sz w:val="40"/>
          <w:szCs w:val="40"/>
        </w:rPr>
      </w:pPr>
      <w:r>
        <w:t xml:space="preserve">10.  Consolidated Business Recommendations</w:t>
      </w:r>
    </w:p>
    <w:p>
      <w:pPr>
        <w:spacing w:after="8" w:before="8"/>
        <w:jc w:val="both"/>
      </w:pPr>
      <w:r>
        <w:rPr>
          <w:color w:val="1A1A2E"/>
          <w:sz w:val="22"/>
          <w:szCs w:val="22"/>
        </w:rPr>
        <w:t xml:space="preserve">The following recommendations are derived from the full analytics dataset and are prioritised by business impact. Each recommendation includes the data source, the insight that generates it, and the suggested action.</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shd w:fill="1E3A5F" w:val="clear"/>
            <w:vAlign w:val="center"/>
          </w:tcPr>
          <w:p>
            <w:pPr>
              <w:jc w:val="center"/>
            </w:pPr>
            <w:r>
              <w:rPr>
                <w:b/>
                <w:bCs/>
                <w:color w:val="FFFFFF"/>
                <w:sz w:val="20"/>
                <w:szCs w:val="20"/>
              </w:rPr>
              <w:t xml:space="preserve">Priority</w:t>
            </w:r>
          </w:p>
        </w:tc>
        <w:tc>
          <w:tcPr>
            <w:shd w:fill="1E3A5F" w:val="clear"/>
            <w:vAlign w:val="center"/>
          </w:tcPr>
          <w:p>
            <w:pPr>
              <w:jc w:val="center"/>
            </w:pPr>
            <w:r>
              <w:rPr>
                <w:b/>
                <w:bCs/>
                <w:color w:val="FFFFFF"/>
                <w:sz w:val="20"/>
                <w:szCs w:val="20"/>
              </w:rPr>
              <w:t xml:space="preserve">Recommendation</w:t>
            </w:r>
          </w:p>
        </w:tc>
        <w:tc>
          <w:tcPr>
            <w:shd w:fill="1E3A5F" w:val="clear"/>
            <w:vAlign w:val="center"/>
          </w:tcPr>
          <w:p>
            <w:pPr>
              <w:jc w:val="center"/>
            </w:pPr>
            <w:r>
              <w:rPr>
                <w:b/>
                <w:bCs/>
                <w:color w:val="FFFFFF"/>
                <w:sz w:val="20"/>
                <w:szCs w:val="20"/>
              </w:rPr>
              <w:t xml:space="preserve">Data Source</w:t>
            </w:r>
          </w:p>
        </w:tc>
        <w:tc>
          <w:tcPr>
            <w:shd w:fill="1E3A5F" w:val="clear"/>
            <w:vAlign w:val="center"/>
          </w:tcPr>
          <w:p>
            <w:pPr>
              <w:jc w:val="center"/>
            </w:pPr>
            <w:r>
              <w:rPr>
                <w:b/>
                <w:bCs/>
                <w:color w:val="FFFFFF"/>
                <w:sz w:val="20"/>
                <w:szCs w:val="20"/>
              </w:rPr>
              <w:t xml:space="preserve">Expected Impact</w:t>
            </w:r>
          </w:p>
        </w:tc>
      </w:tr>
      <w:tr>
        <w:tc>
          <w:tcPr>
            <w:shd w:fill="FFFFFF" w:val="clear"/>
          </w:tcPr>
          <w:p>
            <w:pPr>
              <w:jc w:val="left"/>
            </w:pPr>
            <w:r>
              <w:rPr>
                <w:color w:val="1A1A2E"/>
                <w:sz w:val="20"/>
                <w:szCs w:val="20"/>
              </w:rPr>
              <w:t xml:space="preserve">P1 — Critical</w:t>
            </w:r>
          </w:p>
        </w:tc>
        <w:tc>
          <w:tcPr>
            <w:shd w:fill="FFFFFF" w:val="clear"/>
          </w:tcPr>
          <w:p>
            <w:pPr>
              <w:jc w:val="center"/>
            </w:pPr>
            <w:r>
              <w:rPr>
                <w:color w:val="1A1A2E"/>
                <w:sz w:val="20"/>
                <w:szCs w:val="20"/>
              </w:rPr>
              <w:t xml:space="preserve">Implement automated risk alerts for advance/decline ratio &lt; 45% sustained for 3+ days</w:t>
            </w:r>
          </w:p>
        </w:tc>
        <w:tc>
          <w:tcPr>
            <w:shd w:fill="FFFFFF" w:val="clear"/>
          </w:tcPr>
          <w:p>
            <w:pPr>
              <w:jc w:val="center"/>
            </w:pPr>
            <w:r>
              <w:rPr>
                <w:color w:val="1A1A2E"/>
                <w:sz w:val="20"/>
                <w:szCs w:val="20"/>
              </w:rPr>
              <w:t xml:space="preserve">daily_market_breadth, v_market_trend</w:t>
            </w:r>
          </w:p>
        </w:tc>
        <w:tc>
          <w:tcPr>
            <w:shd w:fill="FFFFFF" w:val="clear"/>
          </w:tcPr>
          <w:p>
            <w:pPr>
              <w:jc w:val="center"/>
            </w:pPr>
            <w:r>
              <w:rPr>
                <w:color w:val="1A1A2E"/>
                <w:sz w:val="20"/>
                <w:szCs w:val="20"/>
              </w:rPr>
              <w:t xml:space="preserve">Early warning for portfolio drawdown, reduces reaction time from days to hours</w:t>
            </w:r>
          </w:p>
        </w:tc>
      </w:tr>
      <w:tr>
        <w:tc>
          <w:tcPr>
            <w:shd w:fill="F4F6F9" w:val="clear"/>
          </w:tcPr>
          <w:p>
            <w:pPr>
              <w:jc w:val="left"/>
            </w:pPr>
            <w:r>
              <w:rPr>
                <w:color w:val="1A1A2E"/>
                <w:sz w:val="20"/>
                <w:szCs w:val="20"/>
              </w:rPr>
              <w:t xml:space="preserve">P1 — Critical</w:t>
            </w:r>
          </w:p>
        </w:tc>
        <w:tc>
          <w:tcPr>
            <w:shd w:fill="F4F6F9" w:val="clear"/>
          </w:tcPr>
          <w:p>
            <w:pPr>
              <w:jc w:val="center"/>
            </w:pPr>
            <w:r>
              <w:rPr>
                <w:color w:val="1A1A2E"/>
                <w:sz w:val="20"/>
                <w:szCs w:val="20"/>
              </w:rPr>
              <w:t xml:space="preserve">Define tradeable universe (avg_daily_volume &gt; 500k, trading_days &gt; 200). Exclude all others from systematic strategies</w:t>
            </w:r>
          </w:p>
        </w:tc>
        <w:tc>
          <w:tcPr>
            <w:shd w:fill="F4F6F9" w:val="clear"/>
          </w:tcPr>
          <w:p>
            <w:pPr>
              <w:jc w:val="center"/>
            </w:pPr>
            <w:r>
              <w:rPr>
                <w:color w:val="1A1A2E"/>
                <w:sz w:val="20"/>
                <w:szCs w:val="20"/>
              </w:rPr>
              <w:t xml:space="preserve">volume_leaders</w:t>
            </w:r>
          </w:p>
        </w:tc>
        <w:tc>
          <w:tcPr>
            <w:shd w:fill="F4F6F9" w:val="clear"/>
          </w:tcPr>
          <w:p>
            <w:pPr>
              <w:jc w:val="center"/>
            </w:pPr>
            <w:r>
              <w:rPr>
                <w:color w:val="1A1A2E"/>
                <w:sz w:val="20"/>
                <w:szCs w:val="20"/>
              </w:rPr>
              <w:t xml:space="preserve">Eliminates liquidity risk and execution slippage in automated trading systems</w:t>
            </w:r>
          </w:p>
        </w:tc>
      </w:tr>
      <w:tr>
        <w:tc>
          <w:tcPr>
            <w:shd w:fill="FFFFFF" w:val="clear"/>
          </w:tcPr>
          <w:p>
            <w:pPr>
              <w:jc w:val="left"/>
            </w:pPr>
            <w:r>
              <w:rPr>
                <w:color w:val="1A1A2E"/>
                <w:sz w:val="20"/>
                <w:szCs w:val="20"/>
              </w:rPr>
              <w:t xml:space="preserve">P1 — Critical</w:t>
            </w:r>
          </w:p>
        </w:tc>
        <w:tc>
          <w:tcPr>
            <w:shd w:fill="FFFFFF" w:val="clear"/>
          </w:tcPr>
          <w:p>
            <w:pPr>
              <w:jc w:val="center"/>
            </w:pPr>
            <w:r>
              <w:rPr>
                <w:color w:val="1A1A2E"/>
                <w:sz w:val="20"/>
                <w:szCs w:val="20"/>
              </w:rPr>
              <w:t xml:space="preserve">Create 'Danger Zone' exclusion list: CV% &gt; 50% + win_rate &lt; 45%. Flag any portfolio position in this zone for immediate review</w:t>
            </w:r>
          </w:p>
        </w:tc>
        <w:tc>
          <w:tcPr>
            <w:shd w:fill="FFFFFF" w:val="clear"/>
          </w:tcPr>
          <w:p>
            <w:pPr>
              <w:jc w:val="center"/>
            </w:pPr>
            <w:r>
              <w:rPr>
                <w:color w:val="1A1A2E"/>
                <w:sz w:val="20"/>
                <w:szCs w:val="20"/>
              </w:rPr>
              <w:t xml:space="preserve">price_volatility</w:t>
            </w:r>
          </w:p>
        </w:tc>
        <w:tc>
          <w:tcPr>
            <w:shd w:fill="FFFFFF" w:val="clear"/>
          </w:tcPr>
          <w:p>
            <w:pPr>
              <w:jc w:val="center"/>
            </w:pPr>
            <w:r>
              <w:rPr>
                <w:color w:val="1A1A2E"/>
                <w:sz w:val="20"/>
                <w:szCs w:val="20"/>
              </w:rPr>
              <w:t xml:space="preserve">Removes statistically unfavourable risk-reward stocks from all managed portfolios</w:t>
            </w:r>
          </w:p>
        </w:tc>
      </w:tr>
      <w:tr>
        <w:tc>
          <w:tcPr>
            <w:shd w:fill="F4F6F9" w:val="clear"/>
          </w:tcPr>
          <w:p>
            <w:pPr>
              <w:jc w:val="left"/>
            </w:pPr>
            <w:r>
              <w:rPr>
                <w:color w:val="1A1A2E"/>
                <w:sz w:val="20"/>
                <w:szCs w:val="20"/>
              </w:rPr>
              <w:t xml:space="preserve">P2 — High</w:t>
            </w:r>
          </w:p>
        </w:tc>
        <w:tc>
          <w:tcPr>
            <w:shd w:fill="F4F6F9" w:val="clear"/>
          </w:tcPr>
          <w:p>
            <w:pPr>
              <w:jc w:val="center"/>
            </w:pPr>
            <w:r>
              <w:rPr>
                <w:color w:val="1A1A2E"/>
                <w:sz w:val="20"/>
                <w:szCs w:val="20"/>
              </w:rPr>
              <w:t xml:space="preserve">Build Momentum Quality Score (Section 8.1) as primary equity selection filter</w:t>
            </w:r>
          </w:p>
        </w:tc>
        <w:tc>
          <w:tcPr>
            <w:shd w:fill="F4F6F9" w:val="clear"/>
          </w:tcPr>
          <w:p>
            <w:pPr>
              <w:jc w:val="center"/>
            </w:pPr>
            <w:r>
              <w:rPr>
                <w:color w:val="1A1A2E"/>
                <w:sz w:val="20"/>
                <w:szCs w:val="20"/>
              </w:rPr>
              <w:t xml:space="preserve">top_performers, stochastic_signals, volume_leaders, price_volatility</w:t>
            </w:r>
          </w:p>
        </w:tc>
        <w:tc>
          <w:tcPr>
            <w:shd w:fill="F4F6F9" w:val="clear"/>
          </w:tcPr>
          <w:p>
            <w:pPr>
              <w:jc w:val="center"/>
            </w:pPr>
            <w:r>
              <w:rPr>
                <w:color w:val="1A1A2E"/>
                <w:sz w:val="20"/>
                <w:szCs w:val="20"/>
              </w:rPr>
              <w:t xml:space="preserve">Systematic, back-testable equity selection with superior risk-adjusted returns</w:t>
            </w:r>
          </w:p>
        </w:tc>
      </w:tr>
      <w:tr>
        <w:tc>
          <w:tcPr>
            <w:shd w:fill="FFFFFF" w:val="clear"/>
          </w:tcPr>
          <w:p>
            <w:pPr>
              <w:jc w:val="left"/>
            </w:pPr>
            <w:r>
              <w:rPr>
                <w:color w:val="1A1A2E"/>
                <w:sz w:val="20"/>
                <w:szCs w:val="20"/>
              </w:rPr>
              <w:t xml:space="preserve">P2 — High</w:t>
            </w:r>
          </w:p>
        </w:tc>
        <w:tc>
          <w:tcPr>
            <w:shd w:fill="FFFFFF" w:val="clear"/>
          </w:tcPr>
          <w:p>
            <w:pPr>
              <w:jc w:val="center"/>
            </w:pPr>
            <w:r>
              <w:rPr>
                <w:color w:val="1A1A2E"/>
                <w:sz w:val="20"/>
                <w:szCs w:val="20"/>
              </w:rPr>
              <w:t xml:space="preserve">Implement Golden/Death Cross alerts for all actively managed tickers via Power Automate</w:t>
            </w:r>
          </w:p>
        </w:tc>
        <w:tc>
          <w:tcPr>
            <w:shd w:fill="FFFFFF" w:val="clear"/>
          </w:tcPr>
          <w:p>
            <w:pPr>
              <w:jc w:val="center"/>
            </w:pPr>
            <w:r>
              <w:rPr>
                <w:color w:val="1A1A2E"/>
                <w:sz w:val="20"/>
                <w:szCs w:val="20"/>
              </w:rPr>
              <w:t xml:space="preserve">monthly_performance (MA 50, MA 200 via DAX)</w:t>
            </w:r>
          </w:p>
        </w:tc>
        <w:tc>
          <w:tcPr>
            <w:shd w:fill="FFFFFF" w:val="clear"/>
          </w:tcPr>
          <w:p>
            <w:pPr>
              <w:jc w:val="center"/>
            </w:pPr>
            <w:r>
              <w:rPr>
                <w:color w:val="1A1A2E"/>
                <w:sz w:val="20"/>
                <w:szCs w:val="20"/>
              </w:rPr>
              <w:t xml:space="preserve">Automates trend-following signals, reduces analyst monitoring burden</w:t>
            </w:r>
          </w:p>
        </w:tc>
      </w:tr>
      <w:tr>
        <w:tc>
          <w:tcPr>
            <w:shd w:fill="F4F6F9" w:val="clear"/>
          </w:tcPr>
          <w:p>
            <w:pPr>
              <w:jc w:val="left"/>
            </w:pPr>
            <w:r>
              <w:rPr>
                <w:color w:val="1A1A2E"/>
                <w:sz w:val="20"/>
                <w:szCs w:val="20"/>
              </w:rPr>
              <w:t xml:space="preserve">P2 — High</w:t>
            </w:r>
          </w:p>
        </w:tc>
        <w:tc>
          <w:tcPr>
            <w:shd w:fill="F4F6F9" w:val="clear"/>
          </w:tcPr>
          <w:p>
            <w:pPr>
              <w:jc w:val="center"/>
            </w:pPr>
            <w:r>
              <w:rPr>
                <w:color w:val="1A1A2E"/>
                <w:sz w:val="20"/>
                <w:szCs w:val="20"/>
              </w:rPr>
              <w:t xml:space="preserve">Publish monthly Dividend Reinvestment Screener: yield &gt; 3%, CV &lt; 30%, consistent history</w:t>
            </w:r>
          </w:p>
        </w:tc>
        <w:tc>
          <w:tcPr>
            <w:shd w:fill="F4F6F9" w:val="clear"/>
          </w:tcPr>
          <w:p>
            <w:pPr>
              <w:jc w:val="center"/>
            </w:pPr>
            <w:r>
              <w:rPr>
                <w:color w:val="1A1A2E"/>
                <w:sz w:val="20"/>
                <w:szCs w:val="20"/>
              </w:rPr>
              <w:t xml:space="preserve">v_dividend_champions, price_volatility</w:t>
            </w:r>
          </w:p>
        </w:tc>
        <w:tc>
          <w:tcPr>
            <w:shd w:fill="F4F6F9" w:val="clear"/>
          </w:tcPr>
          <w:p>
            <w:pPr>
              <w:jc w:val="center"/>
            </w:pPr>
            <w:r>
              <w:rPr>
                <w:color w:val="1A1A2E"/>
                <w:sz w:val="20"/>
                <w:szCs w:val="20"/>
              </w:rPr>
              <w:t xml:space="preserve">Supports income-portfolio clients with systematic, data-driven DRIP recommendations</w:t>
            </w:r>
          </w:p>
        </w:tc>
      </w:tr>
      <w:tr>
        <w:tc>
          <w:tcPr>
            <w:shd w:fill="FFFFFF" w:val="clear"/>
          </w:tcPr>
          <w:p>
            <w:pPr>
              <w:jc w:val="left"/>
            </w:pPr>
            <w:r>
              <w:rPr>
                <w:color w:val="1A1A2E"/>
                <w:sz w:val="20"/>
                <w:szCs w:val="20"/>
              </w:rPr>
              <w:t xml:space="preserve">P3 — Medium</w:t>
            </w:r>
          </w:p>
        </w:tc>
        <w:tc>
          <w:tcPr>
            <w:shd w:fill="FFFFFF" w:val="clear"/>
          </w:tcPr>
          <w:p>
            <w:pPr>
              <w:jc w:val="center"/>
            </w:pPr>
            <w:r>
              <w:rPr>
                <w:color w:val="1A1A2E"/>
                <w:sz w:val="20"/>
                <w:szCs w:val="20"/>
              </w:rPr>
              <w:t xml:space="preserve">Volume Spike alerting: volume &gt; 2× avg + price move &gt; 2%. Notify in under 1 hour.</w:t>
            </w:r>
          </w:p>
        </w:tc>
        <w:tc>
          <w:tcPr>
            <w:shd w:fill="FFFFFF" w:val="clear"/>
          </w:tcPr>
          <w:p>
            <w:pPr>
              <w:jc w:val="center"/>
            </w:pPr>
            <w:r>
              <w:rPr>
                <w:color w:val="1A1A2E"/>
                <w:sz w:val="20"/>
                <w:szCs w:val="20"/>
              </w:rPr>
              <w:t xml:space="preserve">volume_leaders (high_volume_days), streaming_window_summary</w:t>
            </w:r>
          </w:p>
        </w:tc>
        <w:tc>
          <w:tcPr>
            <w:shd w:fill="FFFFFF" w:val="clear"/>
          </w:tcPr>
          <w:p>
            <w:pPr>
              <w:jc w:val="center"/>
            </w:pPr>
            <w:r>
              <w:rPr>
                <w:color w:val="1A1A2E"/>
                <w:sz w:val="20"/>
                <w:szCs w:val="20"/>
              </w:rPr>
              <w:t xml:space="preserve">Captures institutional activity signals before retail investors react</w:t>
            </w:r>
          </w:p>
        </w:tc>
      </w:tr>
      <w:tr>
        <w:tc>
          <w:tcPr>
            <w:shd w:fill="F4F6F9" w:val="clear"/>
          </w:tcPr>
          <w:p>
            <w:pPr>
              <w:jc w:val="left"/>
            </w:pPr>
            <w:r>
              <w:rPr>
                <w:color w:val="1A1A2E"/>
                <w:sz w:val="20"/>
                <w:szCs w:val="20"/>
              </w:rPr>
              <w:t xml:space="preserve">P3 — Medium</w:t>
            </w:r>
          </w:p>
        </w:tc>
        <w:tc>
          <w:tcPr>
            <w:shd w:fill="F4F6F9" w:val="clear"/>
          </w:tcPr>
          <w:p>
            <w:pPr>
              <w:jc w:val="center"/>
            </w:pPr>
            <w:r>
              <w:rPr>
                <w:color w:val="1A1A2E"/>
                <w:sz w:val="20"/>
                <w:szCs w:val="20"/>
              </w:rPr>
              <w:t xml:space="preserve">Build Sector Rotation Recovery Watch (Section 8.2) as a bookmark in Page 4</w:t>
            </w:r>
          </w:p>
        </w:tc>
        <w:tc>
          <w:tcPr>
            <w:shd w:fill="F4F6F9" w:val="clear"/>
          </w:tcPr>
          <w:p>
            <w:pPr>
              <w:jc w:val="center"/>
            </w:pPr>
            <w:r>
              <w:rPr>
                <w:color w:val="1A1A2E"/>
                <w:sz w:val="20"/>
                <w:szCs w:val="20"/>
              </w:rPr>
              <w:t xml:space="preserve">stochastic_signals, daily_market_breadth</w:t>
            </w:r>
          </w:p>
        </w:tc>
        <w:tc>
          <w:tcPr>
            <w:shd w:fill="F4F6F9" w:val="clear"/>
          </w:tcPr>
          <w:p>
            <w:pPr>
              <w:jc w:val="center"/>
            </w:pPr>
            <w:r>
              <w:rPr>
                <w:color w:val="1A1A2E"/>
                <w:sz w:val="20"/>
                <w:szCs w:val="20"/>
              </w:rPr>
              <w:t xml:space="preserve">Identifies sector re-entry points after oversold conditions, improves timing</w:t>
            </w:r>
          </w:p>
        </w:tc>
      </w:tr>
      <w:tr>
        <w:tc>
          <w:tcPr>
            <w:shd w:fill="FFFFFF" w:val="clear"/>
          </w:tcPr>
          <w:p>
            <w:pPr>
              <w:jc w:val="left"/>
            </w:pPr>
            <w:r>
              <w:rPr>
                <w:color w:val="1A1A2E"/>
                <w:sz w:val="20"/>
                <w:szCs w:val="20"/>
              </w:rPr>
              <w:t xml:space="preserve">P3 — Medium</w:t>
            </w:r>
          </w:p>
        </w:tc>
        <w:tc>
          <w:tcPr>
            <w:shd w:fill="FFFFFF" w:val="clear"/>
          </w:tcPr>
          <w:p>
            <w:pPr>
              <w:jc w:val="center"/>
            </w:pPr>
            <w:r>
              <w:rPr>
                <w:color w:val="1A1A2E"/>
                <w:sz w:val="20"/>
                <w:szCs w:val="20"/>
              </w:rPr>
              <w:t xml:space="preserve">Implement VWAP approximation from streaming_window_summary for live trading decisions</w:t>
            </w:r>
          </w:p>
        </w:tc>
        <w:tc>
          <w:tcPr>
            <w:shd w:fill="FFFFFF" w:val="clear"/>
          </w:tcPr>
          <w:p>
            <w:pPr>
              <w:jc w:val="center"/>
            </w:pPr>
            <w:r>
              <w:rPr>
                <w:color w:val="1A1A2E"/>
                <w:sz w:val="20"/>
                <w:szCs w:val="20"/>
              </w:rPr>
              <w:t xml:space="preserve">streaming_window_summary</w:t>
            </w:r>
          </w:p>
        </w:tc>
        <w:tc>
          <w:tcPr>
            <w:shd w:fill="FFFFFF" w:val="clear"/>
          </w:tcPr>
          <w:p>
            <w:pPr>
              <w:jc w:val="center"/>
            </w:pPr>
            <w:r>
              <w:rPr>
                <w:color w:val="1A1A2E"/>
                <w:sz w:val="20"/>
                <w:szCs w:val="20"/>
              </w:rPr>
              <w:t xml:space="preserve">Provides institutional-grade intraday reference price for execution quality</w:t>
            </w:r>
          </w:p>
        </w:tc>
      </w:tr>
      <w:tr>
        <w:tc>
          <w:tcPr>
            <w:shd w:fill="F4F6F9" w:val="clear"/>
          </w:tcPr>
          <w:p>
            <w:pPr>
              <w:jc w:val="left"/>
            </w:pPr>
            <w:r>
              <w:rPr>
                <w:color w:val="1A1A2E"/>
                <w:sz w:val="20"/>
                <w:szCs w:val="20"/>
              </w:rPr>
              <w:t xml:space="preserve">P4 — Operational</w:t>
            </w:r>
          </w:p>
        </w:tc>
        <w:tc>
          <w:tcPr>
            <w:shd w:fill="F4F6F9" w:val="clear"/>
          </w:tcPr>
          <w:p>
            <w:pPr>
              <w:jc w:val="center"/>
            </w:pPr>
            <w:r>
              <w:rPr>
                <w:color w:val="1A1A2E"/>
                <w:sz w:val="20"/>
                <w:szCs w:val="20"/>
              </w:rPr>
              <w:t xml:space="preserve">Data Health Score per ticker: flag and exclude tickers with score &lt; 70 from all analytics</w:t>
            </w:r>
          </w:p>
        </w:tc>
        <w:tc>
          <w:tcPr>
            <w:shd w:fill="F4F6F9" w:val="clear"/>
          </w:tcPr>
          <w:p>
            <w:pPr>
              <w:jc w:val="center"/>
            </w:pPr>
            <w:r>
              <w:rPr>
                <w:color w:val="1A1A2E"/>
                <w:sz w:val="20"/>
                <w:szCs w:val="20"/>
              </w:rPr>
              <w:t xml:space="preserve">stock_summary (trading_days, last_date)</w:t>
            </w:r>
          </w:p>
        </w:tc>
        <w:tc>
          <w:tcPr>
            <w:shd w:fill="F4F6F9" w:val="clear"/>
          </w:tcPr>
          <w:p>
            <w:pPr>
              <w:jc w:val="center"/>
            </w:pPr>
            <w:r>
              <w:rPr>
                <w:color w:val="1A1A2E"/>
                <w:sz w:val="20"/>
                <w:szCs w:val="20"/>
              </w:rPr>
              <w:t xml:space="preserve">Ensures analysis is never based on incomplete or stale data</w:t>
            </w:r>
          </w:p>
        </w:tc>
      </w:tr>
      <w:tr>
        <w:tc>
          <w:tcPr>
            <w:shd w:fill="FFFFFF" w:val="clear"/>
          </w:tcPr>
          <w:p>
            <w:pPr>
              <w:jc w:val="left"/>
            </w:pPr>
            <w:r>
              <w:rPr>
                <w:color w:val="1A1A2E"/>
                <w:sz w:val="20"/>
                <w:szCs w:val="20"/>
              </w:rPr>
              <w:t xml:space="preserve">P4 — Operational</w:t>
            </w:r>
          </w:p>
        </w:tc>
        <w:tc>
          <w:tcPr>
            <w:shd w:fill="FFFFFF" w:val="clear"/>
          </w:tcPr>
          <w:p>
            <w:pPr>
              <w:jc w:val="center"/>
            </w:pPr>
            <w:r>
              <w:rPr>
                <w:color w:val="1A1A2E"/>
                <w:sz w:val="20"/>
                <w:szCs w:val="20"/>
              </w:rPr>
              <w:t xml:space="preserve">Stale data banner alert on dashboard when any table's last refresh &gt; 4 hours</w:t>
            </w:r>
          </w:p>
        </w:tc>
        <w:tc>
          <w:tcPr>
            <w:shd w:fill="FFFFFF" w:val="clear"/>
          </w:tcPr>
          <w:p>
            <w:pPr>
              <w:jc w:val="center"/>
            </w:pPr>
            <w:r>
              <w:rPr>
                <w:color w:val="1A1A2E"/>
                <w:sz w:val="20"/>
                <w:szCs w:val="20"/>
              </w:rPr>
              <w:t xml:space="preserve">all tables (last_date fields)</w:t>
            </w:r>
          </w:p>
        </w:tc>
        <w:tc>
          <w:tcPr>
            <w:shd w:fill="FFFFFF" w:val="clear"/>
          </w:tcPr>
          <w:p>
            <w:pPr>
              <w:jc w:val="center"/>
            </w:pPr>
            <w:r>
              <w:rPr>
                <w:color w:val="1A1A2E"/>
                <w:sz w:val="20"/>
                <w:szCs w:val="20"/>
              </w:rPr>
              <w:t xml:space="preserve">Prevents investment decisions based on outdated analytics</w:t>
            </w:r>
          </w:p>
        </w:tc>
      </w:tr>
    </w:tbl>
    <w:p>
      <w:pPr>
        <w:spacing w:after="0" w:before="12"/>
      </w:pPr>
    </w:p>
    <w:p>
      <w:r>
        <w:br w:type="page"/>
      </w:r>
    </w:p>
    <w:p>
      <w:pPr>
        <w:pStyle w:val="Heading1"/>
        <w:pBdr>
          <w:bottom w:val="single" w:color="C8A951" w:sz="6" w:space="4"/>
        </w:pBdr>
        <w:spacing w:after="16" w:before="36"/>
        <w:rPr>
          <w:b/>
          <w:bCs/>
          <w:color w:val="1E3A5F"/>
          <w:sz w:val="40"/>
          <w:szCs w:val="40"/>
        </w:rPr>
      </w:pPr>
      <w:r>
        <w:t xml:space="preserve">11.  Power BI Implementation Checklist</w:t>
      </w:r>
    </w:p>
    <w:p>
      <w:pPr>
        <w:spacing w:after="8" w:before="8"/>
        <w:jc w:val="both"/>
      </w:pPr>
      <w:r>
        <w:rPr>
          <w:color w:val="1A1A2E"/>
          <w:sz w:val="22"/>
          <w:szCs w:val="22"/>
        </w:rPr>
        <w:t xml:space="preserve">Complete these steps in order. Each step depends on the one before it. Do not skip steps — a visual built on an incorrect model will produce wrong numbers silently.</w:t>
      </w:r>
    </w:p>
    <w:p>
      <w:pPr>
        <w:spacing w:after="0" w:before="8"/>
      </w:pPr>
    </w:p>
    <w:p>
      <w:pPr>
        <w:pStyle w:val="Heading2"/>
        <w:spacing w:after="12" w:before="28"/>
        <w:rPr>
          <w:b/>
          <w:bCs/>
          <w:color w:val="2E6DA4"/>
          <w:sz w:val="32"/>
          <w:szCs w:val="32"/>
        </w:rPr>
      </w:pPr>
      <w:r>
        <w:t xml:space="preserve">Phase 1 — Data Connection (Day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1E3A5F" w:val="clear"/>
            <w:vAlign w:val="center"/>
          </w:tcPr>
          <w:p>
            <w:pPr>
              <w:jc w:val="center"/>
            </w:pPr>
            <w:r>
              <w:rPr>
                <w:b/>
                <w:bCs/>
                <w:color w:val="FFFFFF"/>
                <w:sz w:val="20"/>
                <w:szCs w:val="20"/>
              </w:rPr>
              <w:t xml:space="preserve">Step</w:t>
            </w:r>
          </w:p>
        </w:tc>
        <w:tc>
          <w:tcPr>
            <w:shd w:fill="1E3A5F" w:val="clear"/>
            <w:vAlign w:val="center"/>
          </w:tcPr>
          <w:p>
            <w:pPr>
              <w:jc w:val="center"/>
            </w:pPr>
            <w:r>
              <w:rPr>
                <w:b/>
                <w:bCs/>
                <w:color w:val="FFFFFF"/>
                <w:sz w:val="20"/>
                <w:szCs w:val="20"/>
              </w:rPr>
              <w:t xml:space="preserve">Task</w:t>
            </w:r>
          </w:p>
        </w:tc>
        <w:tc>
          <w:tcPr>
            <w:shd w:fill="1E3A5F" w:val="clear"/>
            <w:vAlign w:val="center"/>
          </w:tcPr>
          <w:p>
            <w:pPr>
              <w:jc w:val="center"/>
            </w:pPr>
            <w:r>
              <w:rPr>
                <w:b/>
                <w:bCs/>
                <w:color w:val="FFFFFF"/>
                <w:sz w:val="20"/>
                <w:szCs w:val="20"/>
              </w:rPr>
              <w:t xml:space="preserve">Verification</w:t>
            </w:r>
          </w:p>
        </w:tc>
      </w:tr>
      <w:tr>
        <w:tc>
          <w:tcPr>
            <w:shd w:fill="FFFFFF" w:val="clear"/>
          </w:tcPr>
          <w:p>
            <w:pPr>
              <w:jc w:val="left"/>
            </w:pPr>
            <w:r>
              <w:rPr>
                <w:color w:val="1A1A2E"/>
                <w:sz w:val="20"/>
                <w:szCs w:val="20"/>
              </w:rPr>
              <w:t xml:space="preserve">1.1</w:t>
            </w:r>
          </w:p>
        </w:tc>
        <w:tc>
          <w:tcPr>
            <w:shd w:fill="FFFFFF" w:val="clear"/>
          </w:tcPr>
          <w:p>
            <w:pPr>
              <w:jc w:val="center"/>
            </w:pPr>
            <w:r>
              <w:rPr>
                <w:color w:val="1A1A2E"/>
                <w:sz w:val="20"/>
                <w:szCs w:val="20"/>
              </w:rPr>
              <w:t xml:space="preserve">Install Npgsql ODBC driver, restart PC</w:t>
            </w:r>
          </w:p>
        </w:tc>
        <w:tc>
          <w:tcPr>
            <w:shd w:fill="FFFFFF" w:val="clear"/>
          </w:tcPr>
          <w:p>
            <w:pPr>
              <w:jc w:val="center"/>
            </w:pPr>
            <w:r>
              <w:rPr>
                <w:color w:val="1A1A2E"/>
                <w:sz w:val="20"/>
                <w:szCs w:val="20"/>
              </w:rPr>
              <w:t xml:space="preserve">Power BI shows PostgreSQL as a data source option</w:t>
            </w:r>
          </w:p>
        </w:tc>
      </w:tr>
      <w:tr>
        <w:tc>
          <w:tcPr>
            <w:shd w:fill="F4F6F9" w:val="clear"/>
          </w:tcPr>
          <w:p>
            <w:pPr>
              <w:jc w:val="left"/>
            </w:pPr>
            <w:r>
              <w:rPr>
                <w:color w:val="1A1A2E"/>
                <w:sz w:val="20"/>
                <w:szCs w:val="20"/>
              </w:rPr>
              <w:t xml:space="preserve">1.2</w:t>
            </w:r>
          </w:p>
        </w:tc>
        <w:tc>
          <w:tcPr>
            <w:shd w:fill="F4F6F9" w:val="clear"/>
          </w:tcPr>
          <w:p>
            <w:pPr>
              <w:jc w:val="center"/>
            </w:pPr>
            <w:r>
              <w:rPr>
                <w:color w:val="1A1A2E"/>
                <w:sz w:val="20"/>
                <w:szCs w:val="20"/>
              </w:rPr>
              <w:t xml:space="preserve">Connect to localhost:5432, database stocks_analytics, user stocks / stocks123</w:t>
            </w:r>
          </w:p>
        </w:tc>
        <w:tc>
          <w:tcPr>
            <w:shd w:fill="F4F6F9" w:val="clear"/>
          </w:tcPr>
          <w:p>
            <w:pPr>
              <w:jc w:val="center"/>
            </w:pPr>
            <w:r>
              <w:rPr>
                <w:color w:val="1A1A2E"/>
                <w:sz w:val="20"/>
                <w:szCs w:val="20"/>
              </w:rPr>
              <w:t xml:space="preserve">Navigator shows all 10 tables + 8 views</w:t>
            </w:r>
          </w:p>
        </w:tc>
      </w:tr>
      <w:tr>
        <w:tc>
          <w:tcPr>
            <w:shd w:fill="FFFFFF" w:val="clear"/>
          </w:tcPr>
          <w:p>
            <w:pPr>
              <w:jc w:val="left"/>
            </w:pPr>
            <w:r>
              <w:rPr>
                <w:color w:val="1A1A2E"/>
                <w:sz w:val="20"/>
                <w:szCs w:val="20"/>
              </w:rPr>
              <w:t xml:space="preserve">1.3</w:t>
            </w:r>
          </w:p>
        </w:tc>
        <w:tc>
          <w:tcPr>
            <w:shd w:fill="FFFFFF" w:val="clear"/>
          </w:tcPr>
          <w:p>
            <w:pPr>
              <w:jc w:val="center"/>
            </w:pPr>
            <w:r>
              <w:rPr>
                <w:color w:val="1A1A2E"/>
                <w:sz w:val="20"/>
                <w:szCs w:val="20"/>
              </w:rPr>
              <w:t xml:space="preserve">Import all 10 tables and 8 views (Import mode, not DirectQuery — analytics tables are batch-updated)</w:t>
            </w:r>
          </w:p>
        </w:tc>
        <w:tc>
          <w:tcPr>
            <w:shd w:fill="FFFFFF" w:val="clear"/>
          </w:tcPr>
          <w:p>
            <w:pPr>
              <w:jc w:val="center"/>
            </w:pPr>
            <w:r>
              <w:rPr>
                <w:color w:val="1A1A2E"/>
                <w:sz w:val="20"/>
                <w:szCs w:val="20"/>
              </w:rPr>
              <w:t xml:space="preserve">All tables load without errors</w:t>
            </w:r>
          </w:p>
        </w:tc>
      </w:tr>
      <w:tr>
        <w:tc>
          <w:tcPr>
            <w:shd w:fill="F4F6F9" w:val="clear"/>
          </w:tcPr>
          <w:p>
            <w:pPr>
              <w:jc w:val="left"/>
            </w:pPr>
            <w:r>
              <w:rPr>
                <w:color w:val="1A1A2E"/>
                <w:sz w:val="20"/>
                <w:szCs w:val="20"/>
              </w:rPr>
              <w:t xml:space="preserve">1.4</w:t>
            </w:r>
          </w:p>
        </w:tc>
        <w:tc>
          <w:tcPr>
            <w:shd w:fill="F4F6F9" w:val="clear"/>
          </w:tcPr>
          <w:p>
            <w:pPr>
              <w:jc w:val="center"/>
            </w:pPr>
            <w:r>
              <w:rPr>
                <w:color w:val="1A1A2E"/>
                <w:sz w:val="20"/>
                <w:szCs w:val="20"/>
              </w:rPr>
              <w:t xml:space="preserve">Verify row counts match SQL: SELECT COUNT(*) FROM each table</w:t>
            </w:r>
          </w:p>
        </w:tc>
        <w:tc>
          <w:tcPr>
            <w:shd w:fill="F4F6F9" w:val="clear"/>
          </w:tcPr>
          <w:p>
            <w:pPr>
              <w:jc w:val="center"/>
            </w:pPr>
            <w:r>
              <w:rPr>
                <w:color w:val="1A1A2E"/>
                <w:sz w:val="20"/>
                <w:szCs w:val="20"/>
              </w:rPr>
              <w:t xml:space="preserve">Counts match between psql and Power BI</w:t>
            </w:r>
          </w:p>
        </w:tc>
      </w:tr>
    </w:tbl>
    <w:p>
      <w:pPr>
        <w:spacing w:after="0" w:before="8"/>
      </w:pPr>
    </w:p>
    <w:p>
      <w:pPr>
        <w:pStyle w:val="Heading2"/>
        <w:spacing w:after="12" w:before="28"/>
        <w:rPr>
          <w:b/>
          <w:bCs/>
          <w:color w:val="2E6DA4"/>
          <w:sz w:val="32"/>
          <w:szCs w:val="32"/>
        </w:rPr>
      </w:pPr>
      <w:r>
        <w:t xml:space="preserve">Phase 2 — Data Model (Day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1E3A5F" w:val="clear"/>
            <w:vAlign w:val="center"/>
          </w:tcPr>
          <w:p>
            <w:pPr>
              <w:jc w:val="center"/>
            </w:pPr>
            <w:r>
              <w:rPr>
                <w:b/>
                <w:bCs/>
                <w:color w:val="FFFFFF"/>
                <w:sz w:val="20"/>
                <w:szCs w:val="20"/>
              </w:rPr>
              <w:t xml:space="preserve">Step</w:t>
            </w:r>
          </w:p>
        </w:tc>
        <w:tc>
          <w:tcPr>
            <w:shd w:fill="1E3A5F" w:val="clear"/>
            <w:vAlign w:val="center"/>
          </w:tcPr>
          <w:p>
            <w:pPr>
              <w:jc w:val="center"/>
            </w:pPr>
            <w:r>
              <w:rPr>
                <w:b/>
                <w:bCs/>
                <w:color w:val="FFFFFF"/>
                <w:sz w:val="20"/>
                <w:szCs w:val="20"/>
              </w:rPr>
              <w:t xml:space="preserve">Task</w:t>
            </w:r>
          </w:p>
        </w:tc>
        <w:tc>
          <w:tcPr>
            <w:shd w:fill="1E3A5F" w:val="clear"/>
            <w:vAlign w:val="center"/>
          </w:tcPr>
          <w:p>
            <w:pPr>
              <w:jc w:val="center"/>
            </w:pPr>
            <w:r>
              <w:rPr>
                <w:b/>
                <w:bCs/>
                <w:color w:val="FFFFFF"/>
                <w:sz w:val="20"/>
                <w:szCs w:val="20"/>
              </w:rPr>
              <w:t xml:space="preserve">Verification</w:t>
            </w:r>
          </w:p>
        </w:tc>
      </w:tr>
      <w:tr>
        <w:tc>
          <w:tcPr>
            <w:shd w:fill="FFFFFF" w:val="clear"/>
          </w:tcPr>
          <w:p>
            <w:pPr>
              <w:jc w:val="left"/>
            </w:pPr>
            <w:r>
              <w:rPr>
                <w:color w:val="1A1A2E"/>
                <w:sz w:val="20"/>
                <w:szCs w:val="20"/>
              </w:rPr>
              <w:t xml:space="preserve">2.1</w:t>
            </w:r>
          </w:p>
        </w:tc>
        <w:tc>
          <w:tcPr>
            <w:shd w:fill="FFFFFF" w:val="clear"/>
          </w:tcPr>
          <w:p>
            <w:pPr>
              <w:jc w:val="center"/>
            </w:pPr>
            <w:r>
              <w:rPr>
                <w:color w:val="1A1A2E"/>
                <w:sz w:val="20"/>
                <w:szCs w:val="20"/>
              </w:rPr>
              <w:t xml:space="preserve">Create dim_date table in Power Query (date, year, month, quarter, weekday columns)</w:t>
            </w:r>
          </w:p>
        </w:tc>
        <w:tc>
          <w:tcPr>
            <w:shd w:fill="FFFFFF" w:val="clear"/>
          </w:tcPr>
          <w:p>
            <w:pPr>
              <w:jc w:val="center"/>
            </w:pPr>
            <w:r>
              <w:rPr>
                <w:color w:val="1A1A2E"/>
                <w:sz w:val="20"/>
                <w:szCs w:val="20"/>
              </w:rPr>
              <w:t xml:space="preserve">Mark as Date Table in Power BI (required for time-intelligence)</w:t>
            </w:r>
          </w:p>
        </w:tc>
      </w:tr>
      <w:tr>
        <w:tc>
          <w:tcPr>
            <w:shd w:fill="F4F6F9" w:val="clear"/>
          </w:tcPr>
          <w:p>
            <w:pPr>
              <w:jc w:val="left"/>
            </w:pPr>
            <w:r>
              <w:rPr>
                <w:color w:val="1A1A2E"/>
                <w:sz w:val="20"/>
                <w:szCs w:val="20"/>
              </w:rPr>
              <w:t xml:space="preserve">2.2</w:t>
            </w:r>
          </w:p>
        </w:tc>
        <w:tc>
          <w:tcPr>
            <w:shd w:fill="F4F6F9" w:val="clear"/>
          </w:tcPr>
          <w:p>
            <w:pPr>
              <w:jc w:val="center"/>
            </w:pPr>
            <w:r>
              <w:rPr>
                <w:color w:val="1A1A2E"/>
                <w:sz w:val="20"/>
                <w:szCs w:val="20"/>
              </w:rPr>
              <w:t xml:space="preserve">Create dim_ticker from stock_summary + top_performers JOIN</w:t>
            </w:r>
          </w:p>
        </w:tc>
        <w:tc>
          <w:tcPr>
            <w:shd w:fill="F4F6F9" w:val="clear"/>
          </w:tcPr>
          <w:p>
            <w:pPr>
              <w:jc w:val="center"/>
            </w:pPr>
            <w:r>
              <w:rPr>
                <w:color w:val="1A1A2E"/>
                <w:sz w:val="20"/>
                <w:szCs w:val="20"/>
              </w:rPr>
              <w:t xml:space="preserve">One row per unique ticker, no duplicates</w:t>
            </w:r>
          </w:p>
        </w:tc>
      </w:tr>
      <w:tr>
        <w:tc>
          <w:tcPr>
            <w:shd w:fill="FFFFFF" w:val="clear"/>
          </w:tcPr>
          <w:p>
            <w:pPr>
              <w:jc w:val="left"/>
            </w:pPr>
            <w:r>
              <w:rPr>
                <w:color w:val="1A1A2E"/>
                <w:sz w:val="20"/>
                <w:szCs w:val="20"/>
              </w:rPr>
              <w:t xml:space="preserve">2.3</w:t>
            </w:r>
          </w:p>
        </w:tc>
        <w:tc>
          <w:tcPr>
            <w:shd w:fill="FFFFFF" w:val="clear"/>
          </w:tcPr>
          <w:p>
            <w:pPr>
              <w:jc w:val="center"/>
            </w:pPr>
            <w:r>
              <w:rPr>
                <w:color w:val="1A1A2E"/>
                <w:sz w:val="20"/>
                <w:szCs w:val="20"/>
              </w:rPr>
              <w:t xml:space="preserve">Create fact_daily_prices from monthly_performance with date_key and ticker_key columns</w:t>
            </w:r>
          </w:p>
        </w:tc>
        <w:tc>
          <w:tcPr>
            <w:shd w:fill="FFFFFF" w:val="clear"/>
          </w:tcPr>
          <w:p>
            <w:pPr>
              <w:jc w:val="center"/>
            </w:pPr>
            <w:r>
              <w:rPr>
                <w:color w:val="1A1A2E"/>
                <w:sz w:val="20"/>
                <w:szCs w:val="20"/>
              </w:rPr>
              <w:t xml:space="preserve">Row count matches monthly_performance</w:t>
            </w:r>
          </w:p>
        </w:tc>
      </w:tr>
      <w:tr>
        <w:tc>
          <w:tcPr>
            <w:shd w:fill="F4F6F9" w:val="clear"/>
          </w:tcPr>
          <w:p>
            <w:pPr>
              <w:jc w:val="left"/>
            </w:pPr>
            <w:r>
              <w:rPr>
                <w:color w:val="1A1A2E"/>
                <w:sz w:val="20"/>
                <w:szCs w:val="20"/>
              </w:rPr>
              <w:t xml:space="preserve">2.4</w:t>
            </w:r>
          </w:p>
        </w:tc>
        <w:tc>
          <w:tcPr>
            <w:shd w:fill="F4F6F9" w:val="clear"/>
          </w:tcPr>
          <w:p>
            <w:pPr>
              <w:jc w:val="center"/>
            </w:pPr>
            <w:r>
              <w:rPr>
                <w:color w:val="1A1A2E"/>
                <w:sz w:val="20"/>
                <w:szCs w:val="20"/>
              </w:rPr>
              <w:t xml:space="preserve">Set all relationships (Section 1.3)</w:t>
            </w:r>
          </w:p>
        </w:tc>
        <w:tc>
          <w:tcPr>
            <w:shd w:fill="F4F6F9" w:val="clear"/>
          </w:tcPr>
          <w:p>
            <w:pPr>
              <w:jc w:val="center"/>
            </w:pPr>
            <w:r>
              <w:rPr>
                <w:color w:val="1A1A2E"/>
                <w:sz w:val="20"/>
                <w:szCs w:val="20"/>
              </w:rPr>
              <w:t xml:space="preserve">Model view shows correct cardinality arrows</w:t>
            </w:r>
          </w:p>
        </w:tc>
      </w:tr>
      <w:tr>
        <w:tc>
          <w:tcPr>
            <w:shd w:fill="FFFFFF" w:val="clear"/>
          </w:tcPr>
          <w:p>
            <w:pPr>
              <w:jc w:val="left"/>
            </w:pPr>
            <w:r>
              <w:rPr>
                <w:color w:val="1A1A2E"/>
                <w:sz w:val="20"/>
                <w:szCs w:val="20"/>
              </w:rPr>
              <w:t xml:space="preserve">2.5</w:t>
            </w:r>
          </w:p>
        </w:tc>
        <w:tc>
          <w:tcPr>
            <w:shd w:fill="FFFFFF" w:val="clear"/>
          </w:tcPr>
          <w:p>
            <w:pPr>
              <w:jc w:val="center"/>
            </w:pPr>
            <w:r>
              <w:rPr>
                <w:color w:val="1A1A2E"/>
                <w:sz w:val="20"/>
                <w:szCs w:val="20"/>
              </w:rPr>
              <w:t xml:space="preserve">Test with Matrix: ticker × year × SUM(close). Numbers must be logical</w:t>
            </w:r>
          </w:p>
        </w:tc>
        <w:tc>
          <w:tcPr>
            <w:shd w:fill="FFFFFF" w:val="clear"/>
          </w:tcPr>
          <w:p>
            <w:pPr>
              <w:jc w:val="center"/>
            </w:pPr>
            <w:r>
              <w:rPr>
                <w:color w:val="1A1A2E"/>
                <w:sz w:val="20"/>
                <w:szCs w:val="20"/>
              </w:rPr>
              <w:t xml:space="preserve">No duplicate counts, no unexpectedly large/small values</w:t>
            </w:r>
          </w:p>
        </w:tc>
      </w:tr>
    </w:tbl>
    <w:p>
      <w:pPr>
        <w:spacing w:after="0" w:before="8"/>
      </w:pPr>
    </w:p>
    <w:p>
      <w:pPr>
        <w:pStyle w:val="Heading2"/>
        <w:spacing w:after="12" w:before="28"/>
        <w:rPr>
          <w:b/>
          <w:bCs/>
          <w:color w:val="2E6DA4"/>
          <w:sz w:val="32"/>
          <w:szCs w:val="32"/>
        </w:rPr>
      </w:pPr>
      <w:r>
        <w:t xml:space="preserve">Phase 3 — DAX Measures (Day 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1E3A5F" w:val="clear"/>
            <w:vAlign w:val="center"/>
          </w:tcPr>
          <w:p>
            <w:pPr>
              <w:jc w:val="center"/>
            </w:pPr>
            <w:r>
              <w:rPr>
                <w:b/>
                <w:bCs/>
                <w:color w:val="FFFFFF"/>
                <w:sz w:val="20"/>
                <w:szCs w:val="20"/>
              </w:rPr>
              <w:t xml:space="preserve">Step</w:t>
            </w:r>
          </w:p>
        </w:tc>
        <w:tc>
          <w:tcPr>
            <w:shd w:fill="1E3A5F" w:val="clear"/>
            <w:vAlign w:val="center"/>
          </w:tcPr>
          <w:p>
            <w:pPr>
              <w:jc w:val="center"/>
            </w:pPr>
            <w:r>
              <w:rPr>
                <w:b/>
                <w:bCs/>
                <w:color w:val="FFFFFF"/>
                <w:sz w:val="20"/>
                <w:szCs w:val="20"/>
              </w:rPr>
              <w:t xml:space="preserve">Task</w:t>
            </w:r>
          </w:p>
        </w:tc>
        <w:tc>
          <w:tcPr>
            <w:shd w:fill="1E3A5F" w:val="clear"/>
            <w:vAlign w:val="center"/>
          </w:tcPr>
          <w:p>
            <w:pPr>
              <w:jc w:val="center"/>
            </w:pPr>
            <w:r>
              <w:rPr>
                <w:b/>
                <w:bCs/>
                <w:color w:val="FFFFFF"/>
                <w:sz w:val="20"/>
                <w:szCs w:val="20"/>
              </w:rPr>
              <w:t xml:space="preserve">Verification</w:t>
            </w:r>
          </w:p>
        </w:tc>
      </w:tr>
      <w:tr>
        <w:tc>
          <w:tcPr>
            <w:shd w:fill="FFFFFF" w:val="clear"/>
          </w:tcPr>
          <w:p>
            <w:pPr>
              <w:jc w:val="left"/>
            </w:pPr>
            <w:r>
              <w:rPr>
                <w:color w:val="1A1A2E"/>
                <w:sz w:val="20"/>
                <w:szCs w:val="20"/>
              </w:rPr>
              <w:t xml:space="preserve">3.1</w:t>
            </w:r>
          </w:p>
        </w:tc>
        <w:tc>
          <w:tcPr>
            <w:shd w:fill="FFFFFF" w:val="clear"/>
          </w:tcPr>
          <w:p>
            <w:pPr>
              <w:jc w:val="center"/>
            </w:pPr>
            <w:r>
              <w:rPr>
                <w:color w:val="1A1A2E"/>
                <w:sz w:val="20"/>
                <w:szCs w:val="20"/>
              </w:rPr>
              <w:t xml:space="preserve">Create _Measures table (empty table to hold all measures)</w:t>
            </w:r>
          </w:p>
        </w:tc>
        <w:tc>
          <w:tcPr>
            <w:shd w:fill="FFFFFF" w:val="clear"/>
          </w:tcPr>
          <w:p>
            <w:pPr>
              <w:jc w:val="center"/>
            </w:pPr>
            <w:r>
              <w:rPr>
                <w:color w:val="1A1A2E"/>
                <w:sz w:val="20"/>
                <w:szCs w:val="20"/>
              </w:rPr>
              <w:t xml:space="preserve">Appears in Field list as a table</w:t>
            </w:r>
          </w:p>
        </w:tc>
      </w:tr>
      <w:tr>
        <w:tc>
          <w:tcPr>
            <w:shd w:fill="F4F6F9" w:val="clear"/>
          </w:tcPr>
          <w:p>
            <w:pPr>
              <w:jc w:val="left"/>
            </w:pPr>
            <w:r>
              <w:rPr>
                <w:color w:val="1A1A2E"/>
                <w:sz w:val="20"/>
                <w:szCs w:val="20"/>
              </w:rPr>
              <w:t xml:space="preserve">3.2</w:t>
            </w:r>
          </w:p>
        </w:tc>
        <w:tc>
          <w:tcPr>
            <w:shd w:fill="F4F6F9" w:val="clear"/>
          </w:tcPr>
          <w:p>
            <w:pPr>
              <w:jc w:val="center"/>
            </w:pPr>
            <w:r>
              <w:rPr>
                <w:color w:val="1A1A2E"/>
                <w:sz w:val="20"/>
                <w:szCs w:val="20"/>
              </w:rPr>
              <w:t xml:space="preserve">Build all return measures (Section 2.1)</w:t>
            </w:r>
          </w:p>
        </w:tc>
        <w:tc>
          <w:tcPr>
            <w:shd w:fill="F4F6F9" w:val="clear"/>
          </w:tcPr>
          <w:p>
            <w:pPr>
              <w:jc w:val="center"/>
            </w:pPr>
            <w:r>
              <w:rPr>
                <w:color w:val="1A1A2E"/>
                <w:sz w:val="20"/>
                <w:szCs w:val="20"/>
              </w:rPr>
              <w:t xml:space="preserve">Check against known SQL: SELECT AVG(month_return_pct) FROM monthly_performance</w:t>
            </w:r>
          </w:p>
        </w:tc>
      </w:tr>
      <w:tr>
        <w:tc>
          <w:tcPr>
            <w:shd w:fill="FFFFFF" w:val="clear"/>
          </w:tcPr>
          <w:p>
            <w:pPr>
              <w:jc w:val="left"/>
            </w:pPr>
            <w:r>
              <w:rPr>
                <w:color w:val="1A1A2E"/>
                <w:sz w:val="20"/>
                <w:szCs w:val="20"/>
              </w:rPr>
              <w:t xml:space="preserve">3.3</w:t>
            </w:r>
          </w:p>
        </w:tc>
        <w:tc>
          <w:tcPr>
            <w:shd w:fill="FFFFFF" w:val="clear"/>
          </w:tcPr>
          <w:p>
            <w:pPr>
              <w:jc w:val="center"/>
            </w:pPr>
            <w:r>
              <w:rPr>
                <w:color w:val="1A1A2E"/>
                <w:sz w:val="20"/>
                <w:szCs w:val="20"/>
              </w:rPr>
              <w:t xml:space="preserve">Build MA measures (Section 2.2)</w:t>
            </w:r>
          </w:p>
        </w:tc>
        <w:tc>
          <w:tcPr>
            <w:shd w:fill="FFFFFF" w:val="clear"/>
          </w:tcPr>
          <w:p>
            <w:pPr>
              <w:jc w:val="center"/>
            </w:pPr>
            <w:r>
              <w:rPr>
                <w:color w:val="1A1A2E"/>
                <w:sz w:val="20"/>
                <w:szCs w:val="20"/>
              </w:rPr>
              <w:t xml:space="preserve">Visual spot-check: MA 200 should be smoother than MA 20</w:t>
            </w:r>
          </w:p>
        </w:tc>
      </w:tr>
      <w:tr>
        <w:tc>
          <w:tcPr>
            <w:shd w:fill="F4F6F9" w:val="clear"/>
          </w:tcPr>
          <w:p>
            <w:pPr>
              <w:jc w:val="left"/>
            </w:pPr>
            <w:r>
              <w:rPr>
                <w:color w:val="1A1A2E"/>
                <w:sz w:val="20"/>
                <w:szCs w:val="20"/>
              </w:rPr>
              <w:t xml:space="preserve">3.4</w:t>
            </w:r>
          </w:p>
        </w:tc>
        <w:tc>
          <w:tcPr>
            <w:shd w:fill="F4F6F9" w:val="clear"/>
          </w:tcPr>
          <w:p>
            <w:pPr>
              <w:jc w:val="center"/>
            </w:pPr>
            <w:r>
              <w:rPr>
                <w:color w:val="1A1A2E"/>
                <w:sz w:val="20"/>
                <w:szCs w:val="20"/>
              </w:rPr>
              <w:t xml:space="preserve">Build volatility measures (Section 2.3)</w:t>
            </w:r>
          </w:p>
        </w:tc>
        <w:tc>
          <w:tcPr>
            <w:shd w:fill="F4F6F9" w:val="clear"/>
          </w:tcPr>
          <w:p>
            <w:pPr>
              <w:jc w:val="center"/>
            </w:pPr>
            <w:r>
              <w:rPr>
                <w:color w:val="1A1A2E"/>
                <w:sz w:val="20"/>
                <w:szCs w:val="20"/>
              </w:rPr>
              <w:t xml:space="preserve">CV% from DAX should approximately match coeff_variation_pct from price_volatility table</w:t>
            </w:r>
          </w:p>
        </w:tc>
      </w:tr>
      <w:tr>
        <w:tc>
          <w:tcPr>
            <w:shd w:fill="FFFFFF" w:val="clear"/>
          </w:tcPr>
          <w:p>
            <w:pPr>
              <w:jc w:val="left"/>
            </w:pPr>
            <w:r>
              <w:rPr>
                <w:color w:val="1A1A2E"/>
                <w:sz w:val="20"/>
                <w:szCs w:val="20"/>
              </w:rPr>
              <w:t xml:space="preserve">3.5</w:t>
            </w:r>
          </w:p>
        </w:tc>
        <w:tc>
          <w:tcPr>
            <w:shd w:fill="FFFFFF" w:val="clear"/>
          </w:tcPr>
          <w:p>
            <w:pPr>
              <w:jc w:val="center"/>
            </w:pPr>
            <w:r>
              <w:rPr>
                <w:color w:val="1A1A2E"/>
                <w:sz w:val="20"/>
                <w:szCs w:val="20"/>
              </w:rPr>
              <w:t xml:space="preserve">Build volume measures (Section 2.4)</w:t>
            </w:r>
          </w:p>
        </w:tc>
        <w:tc>
          <w:tcPr>
            <w:shd w:fill="FFFFFF" w:val="clear"/>
          </w:tcPr>
          <w:p>
            <w:pPr>
              <w:jc w:val="center"/>
            </w:pPr>
            <w:r>
              <w:rPr>
                <w:color w:val="1A1A2E"/>
                <w:sz w:val="20"/>
                <w:szCs w:val="20"/>
              </w:rPr>
              <w:t xml:space="preserve">Avg Volume DAX ≈ avg_daily_volume from volume_leaders</w:t>
            </w:r>
          </w:p>
        </w:tc>
      </w:tr>
      <w:tr>
        <w:tc>
          <w:tcPr>
            <w:shd w:fill="F4F6F9" w:val="clear"/>
          </w:tcPr>
          <w:p>
            <w:pPr>
              <w:jc w:val="left"/>
            </w:pPr>
            <w:r>
              <w:rPr>
                <w:color w:val="1A1A2E"/>
                <w:sz w:val="20"/>
                <w:szCs w:val="20"/>
              </w:rPr>
              <w:t xml:space="preserve">3.6</w:t>
            </w:r>
          </w:p>
        </w:tc>
        <w:tc>
          <w:tcPr>
            <w:shd w:fill="F4F6F9" w:val="clear"/>
          </w:tcPr>
          <w:p>
            <w:pPr>
              <w:jc w:val="center"/>
            </w:pPr>
            <w:r>
              <w:rPr>
                <w:color w:val="1A1A2E"/>
                <w:sz w:val="20"/>
                <w:szCs w:val="20"/>
              </w:rPr>
              <w:t xml:space="preserve">Build technical signal measures (Section 2.5)</w:t>
            </w:r>
          </w:p>
        </w:tc>
        <w:tc>
          <w:tcPr>
            <w:shd w:fill="F4F6F9" w:val="clear"/>
          </w:tcPr>
          <w:p>
            <w:pPr>
              <w:jc w:val="center"/>
            </w:pPr>
            <w:r>
              <w:rPr>
                <w:color w:val="1A1A2E"/>
                <w:sz w:val="20"/>
                <w:szCs w:val="20"/>
              </w:rPr>
              <w:t xml:space="preserve">Stochastic measures match avg_stochk from stochastic_signals</w:t>
            </w:r>
          </w:p>
        </w:tc>
      </w:tr>
    </w:tbl>
    <w:p>
      <w:pPr>
        <w:spacing w:after="0" w:before="8"/>
      </w:pPr>
    </w:p>
    <w:p>
      <w:pPr>
        <w:pStyle w:val="Heading2"/>
        <w:spacing w:after="12" w:before="28"/>
        <w:rPr>
          <w:b/>
          <w:bCs/>
          <w:color w:val="2E6DA4"/>
          <w:sz w:val="32"/>
          <w:szCs w:val="32"/>
        </w:rPr>
      </w:pPr>
      <w:r>
        <w:t xml:space="preserve">Phase 4 — Dashboard Pages (Day 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shd w:fill="1E3A5F" w:val="clear"/>
            <w:vAlign w:val="center"/>
          </w:tcPr>
          <w:p>
            <w:pPr>
              <w:jc w:val="center"/>
            </w:pPr>
            <w:r>
              <w:rPr>
                <w:b/>
                <w:bCs/>
                <w:color w:val="FFFFFF"/>
                <w:sz w:val="20"/>
                <w:szCs w:val="20"/>
              </w:rPr>
              <w:t xml:space="preserve">Step</w:t>
            </w:r>
          </w:p>
        </w:tc>
        <w:tc>
          <w:tcPr>
            <w:shd w:fill="1E3A5F" w:val="clear"/>
            <w:vAlign w:val="center"/>
          </w:tcPr>
          <w:p>
            <w:pPr>
              <w:jc w:val="center"/>
            </w:pPr>
            <w:r>
              <w:rPr>
                <w:b/>
                <w:bCs/>
                <w:color w:val="FFFFFF"/>
                <w:sz w:val="20"/>
                <w:szCs w:val="20"/>
              </w:rPr>
              <w:t xml:space="preserve">Page</w:t>
            </w:r>
          </w:p>
        </w:tc>
        <w:tc>
          <w:tcPr>
            <w:shd w:fill="1E3A5F" w:val="clear"/>
            <w:vAlign w:val="center"/>
          </w:tcPr>
          <w:p>
            <w:pPr>
              <w:jc w:val="center"/>
            </w:pPr>
            <w:r>
              <w:rPr>
                <w:b/>
                <w:bCs/>
                <w:color w:val="FFFFFF"/>
                <w:sz w:val="20"/>
                <w:szCs w:val="20"/>
              </w:rPr>
              <w:t xml:space="preserve">Key Visuals</w:t>
            </w:r>
          </w:p>
        </w:tc>
        <w:tc>
          <w:tcPr>
            <w:shd w:fill="1E3A5F" w:val="clear"/>
            <w:vAlign w:val="center"/>
          </w:tcPr>
          <w:p>
            <w:pPr>
              <w:jc w:val="center"/>
            </w:pPr>
            <w:r>
              <w:rPr>
                <w:b/>
                <w:bCs/>
                <w:color w:val="FFFFFF"/>
                <w:sz w:val="20"/>
                <w:szCs w:val="20"/>
              </w:rPr>
              <w:t xml:space="preserve">Done?</w:t>
            </w:r>
          </w:p>
        </w:tc>
      </w:tr>
      <w:tr>
        <w:tc>
          <w:tcPr>
            <w:shd w:fill="FFFFFF" w:val="clear"/>
          </w:tcPr>
          <w:p>
            <w:pPr>
              <w:jc w:val="left"/>
            </w:pPr>
            <w:r>
              <w:rPr>
                <w:color w:val="1A1A2E"/>
                <w:sz w:val="20"/>
                <w:szCs w:val="20"/>
              </w:rPr>
              <w:t xml:space="preserve">4.1</w:t>
            </w:r>
          </w:p>
        </w:tc>
        <w:tc>
          <w:tcPr>
            <w:shd w:fill="FFFFFF" w:val="clear"/>
          </w:tcPr>
          <w:p>
            <w:pPr>
              <w:jc w:val="center"/>
            </w:pPr>
            <w:r>
              <w:rPr>
                <w:color w:val="1A1A2E"/>
                <w:sz w:val="20"/>
                <w:szCs w:val="20"/>
              </w:rPr>
              <w:t xml:space="preserve">Page 2 — Market Overview</w:t>
            </w:r>
          </w:p>
        </w:tc>
        <w:tc>
          <w:tcPr>
            <w:shd w:fill="FFFFFF" w:val="clear"/>
          </w:tcPr>
          <w:p>
            <w:pPr>
              <w:jc w:val="center"/>
            </w:pPr>
            <w:r>
              <w:rPr>
                <w:color w:val="1A1A2E"/>
                <w:sz w:val="20"/>
                <w:szCs w:val="20"/>
              </w:rPr>
              <w:t xml:space="preserve">KPI cards, normalised line chart, bar chart, heatmap, A/D trend line</w:t>
            </w:r>
          </w:p>
        </w:tc>
        <w:tc>
          <w:tcPr>
            <w:shd w:fill="FFFFFF" w:val="clear"/>
          </w:tcPr>
          <w:p>
            <w:pPr>
              <w:jc w:val="center"/>
            </w:pPr>
            <w:r>
              <w:rPr>
                <w:color w:val="1A1A2E"/>
                <w:sz w:val="20"/>
                <w:szCs w:val="20"/>
              </w:rPr>
              <w:t xml:space="preserve">□</w:t>
            </w:r>
          </w:p>
        </w:tc>
      </w:tr>
      <w:tr>
        <w:tc>
          <w:tcPr>
            <w:shd w:fill="F4F6F9" w:val="clear"/>
          </w:tcPr>
          <w:p>
            <w:pPr>
              <w:jc w:val="left"/>
            </w:pPr>
            <w:r>
              <w:rPr>
                <w:color w:val="1A1A2E"/>
                <w:sz w:val="20"/>
                <w:szCs w:val="20"/>
              </w:rPr>
              <w:t xml:space="preserve">4.2</w:t>
            </w:r>
          </w:p>
        </w:tc>
        <w:tc>
          <w:tcPr>
            <w:shd w:fill="F4F6F9" w:val="clear"/>
          </w:tcPr>
          <w:p>
            <w:pPr>
              <w:jc w:val="center"/>
            </w:pPr>
            <w:r>
              <w:rPr>
                <w:color w:val="1A1A2E"/>
                <w:sz w:val="20"/>
                <w:szCs w:val="20"/>
              </w:rPr>
              <w:t xml:space="preserve">Page 3 — Ticker Deep-Dive</w:t>
            </w:r>
          </w:p>
        </w:tc>
        <w:tc>
          <w:tcPr>
            <w:shd w:fill="F4F6F9" w:val="clear"/>
          </w:tcPr>
          <w:p>
            <w:pPr>
              <w:jc w:val="center"/>
            </w:pPr>
            <w:r>
              <w:rPr>
                <w:color w:val="1A1A2E"/>
                <w:sz w:val="20"/>
                <w:szCs w:val="20"/>
              </w:rPr>
              <w:t xml:space="preserve">Ticker slicer, MA chart, Price+Volume combo, Returns distribution, Stochastic gauge</w:t>
            </w:r>
          </w:p>
        </w:tc>
        <w:tc>
          <w:tcPr>
            <w:shd w:fill="F4F6F9" w:val="clear"/>
          </w:tcPr>
          <w:p>
            <w:pPr>
              <w:jc w:val="center"/>
            </w:pPr>
            <w:r>
              <w:rPr>
                <w:color w:val="1A1A2E"/>
                <w:sz w:val="20"/>
                <w:szCs w:val="20"/>
              </w:rPr>
              <w:t xml:space="preserve">□</w:t>
            </w:r>
          </w:p>
        </w:tc>
      </w:tr>
      <w:tr>
        <w:tc>
          <w:tcPr>
            <w:shd w:fill="FFFFFF" w:val="clear"/>
          </w:tcPr>
          <w:p>
            <w:pPr>
              <w:jc w:val="left"/>
            </w:pPr>
            <w:r>
              <w:rPr>
                <w:color w:val="1A1A2E"/>
                <w:sz w:val="20"/>
                <w:szCs w:val="20"/>
              </w:rPr>
              <w:t xml:space="preserve">4.3</w:t>
            </w:r>
          </w:p>
        </w:tc>
        <w:tc>
          <w:tcPr>
            <w:shd w:fill="FFFFFF" w:val="clear"/>
          </w:tcPr>
          <w:p>
            <w:pPr>
              <w:jc w:val="center"/>
            </w:pPr>
            <w:r>
              <w:rPr>
                <w:color w:val="1A1A2E"/>
                <w:sz w:val="20"/>
                <w:szCs w:val="20"/>
              </w:rPr>
              <w:t xml:space="preserve">Page 4 — Volume &amp; Volatility</w:t>
            </w:r>
          </w:p>
        </w:tc>
        <w:tc>
          <w:tcPr>
            <w:shd w:fill="FFFFFF" w:val="clear"/>
          </w:tcPr>
          <w:p>
            <w:pPr>
              <w:jc w:val="center"/>
            </w:pPr>
            <w:r>
              <w:rPr>
                <w:color w:val="1A1A2E"/>
                <w:sz w:val="20"/>
                <w:szCs w:val="20"/>
              </w:rPr>
              <w:t xml:space="preserve">Volume bar, Volatility bar, Scatter quadrant chart, Dividend bar</w:t>
            </w:r>
          </w:p>
        </w:tc>
        <w:tc>
          <w:tcPr>
            <w:shd w:fill="FFFFFF" w:val="clear"/>
          </w:tcPr>
          <w:p>
            <w:pPr>
              <w:jc w:val="center"/>
            </w:pPr>
            <w:r>
              <w:rPr>
                <w:color w:val="1A1A2E"/>
                <w:sz w:val="20"/>
                <w:szCs w:val="20"/>
              </w:rPr>
              <w:t xml:space="preserve">□</w:t>
            </w:r>
          </w:p>
        </w:tc>
      </w:tr>
      <w:tr>
        <w:tc>
          <w:tcPr>
            <w:shd w:fill="F4F6F9" w:val="clear"/>
          </w:tcPr>
          <w:p>
            <w:pPr>
              <w:jc w:val="left"/>
            </w:pPr>
            <w:r>
              <w:rPr>
                <w:color w:val="1A1A2E"/>
                <w:sz w:val="20"/>
                <w:szCs w:val="20"/>
              </w:rPr>
              <w:t xml:space="preserve">4.4</w:t>
            </w:r>
          </w:p>
        </w:tc>
        <w:tc>
          <w:tcPr>
            <w:shd w:fill="F4F6F9" w:val="clear"/>
          </w:tcPr>
          <w:p>
            <w:pPr>
              <w:jc w:val="center"/>
            </w:pPr>
            <w:r>
              <w:rPr>
                <w:color w:val="1A1A2E"/>
                <w:sz w:val="20"/>
                <w:szCs w:val="20"/>
              </w:rPr>
              <w:t xml:space="preserve">Page 1 — Landing Home</w:t>
            </w:r>
          </w:p>
        </w:tc>
        <w:tc>
          <w:tcPr>
            <w:shd w:fill="F4F6F9" w:val="clear"/>
          </w:tcPr>
          <w:p>
            <w:pPr>
              <w:jc w:val="center"/>
            </w:pPr>
            <w:r>
              <w:rPr>
                <w:color w:val="1A1A2E"/>
                <w:sz w:val="20"/>
                <w:szCs w:val="20"/>
              </w:rPr>
              <w:t xml:space="preserve">Navigation buttons, KPI cards, brand design</w:t>
            </w:r>
          </w:p>
        </w:tc>
        <w:tc>
          <w:tcPr>
            <w:shd w:fill="F4F6F9" w:val="clear"/>
          </w:tcPr>
          <w:p>
            <w:pPr>
              <w:jc w:val="center"/>
            </w:pPr>
            <w:r>
              <w:rPr>
                <w:color w:val="1A1A2E"/>
                <w:sz w:val="20"/>
                <w:szCs w:val="20"/>
              </w:rPr>
              <w:t xml:space="preserve">□</w:t>
            </w:r>
          </w:p>
        </w:tc>
      </w:tr>
      <w:tr>
        <w:tc>
          <w:tcPr>
            <w:shd w:fill="FFFFFF" w:val="clear"/>
          </w:tcPr>
          <w:p>
            <w:pPr>
              <w:jc w:val="left"/>
            </w:pPr>
            <w:r>
              <w:rPr>
                <w:color w:val="1A1A2E"/>
                <w:sz w:val="20"/>
                <w:szCs w:val="20"/>
              </w:rPr>
              <w:t xml:space="preserve">4.5</w:t>
            </w:r>
          </w:p>
        </w:tc>
        <w:tc>
          <w:tcPr>
            <w:shd w:fill="FFFFFF" w:val="clear"/>
          </w:tcPr>
          <w:p>
            <w:pPr>
              <w:jc w:val="center"/>
            </w:pPr>
            <w:r>
              <w:rPr>
                <w:color w:val="1A1A2E"/>
                <w:sz w:val="20"/>
                <w:szCs w:val="20"/>
              </w:rPr>
              <w:t xml:space="preserve">All Pages</w:t>
            </w:r>
          </w:p>
        </w:tc>
        <w:tc>
          <w:tcPr>
            <w:shd w:fill="FFFFFF" w:val="clear"/>
          </w:tcPr>
          <w:p>
            <w:pPr>
              <w:jc w:val="center"/>
            </w:pPr>
            <w:r>
              <w:rPr>
                <w:color w:val="1A1A2E"/>
                <w:sz w:val="20"/>
                <w:szCs w:val="20"/>
              </w:rPr>
              <w:t xml:space="preserve">Apply consistent theme (Dark Blue / Gold palette from this document), tooltip templates</w:t>
            </w:r>
          </w:p>
        </w:tc>
        <w:tc>
          <w:tcPr>
            <w:shd w:fill="FFFFFF" w:val="clear"/>
          </w:tcPr>
          <w:p>
            <w:pPr>
              <w:jc w:val="center"/>
            </w:pPr>
            <w:r>
              <w:rPr>
                <w:color w:val="1A1A2E"/>
                <w:sz w:val="20"/>
                <w:szCs w:val="20"/>
              </w:rPr>
              <w:t xml:space="preserve">□</w:t>
            </w:r>
          </w:p>
        </w:tc>
      </w:tr>
      <w:tr>
        <w:tc>
          <w:tcPr>
            <w:shd w:fill="F4F6F9" w:val="clear"/>
          </w:tcPr>
          <w:p>
            <w:pPr>
              <w:jc w:val="left"/>
            </w:pPr>
            <w:r>
              <w:rPr>
                <w:color w:val="1A1A2E"/>
                <w:sz w:val="20"/>
                <w:szCs w:val="20"/>
              </w:rPr>
              <w:t xml:space="preserve">4.6</w:t>
            </w:r>
          </w:p>
        </w:tc>
        <w:tc>
          <w:tcPr>
            <w:shd w:fill="F4F6F9" w:val="clear"/>
          </w:tcPr>
          <w:p>
            <w:pPr>
              <w:jc w:val="center"/>
            </w:pPr>
            <w:r>
              <w:rPr>
                <w:color w:val="1A1A2E"/>
                <w:sz w:val="20"/>
                <w:szCs w:val="20"/>
              </w:rPr>
              <w:t xml:space="preserve">All Pages</w:t>
            </w:r>
          </w:p>
        </w:tc>
        <w:tc>
          <w:tcPr>
            <w:shd w:fill="F4F6F9" w:val="clear"/>
          </w:tcPr>
          <w:p>
            <w:pPr>
              <w:jc w:val="center"/>
            </w:pPr>
            <w:r>
              <w:rPr>
                <w:color w:val="1A1A2E"/>
                <w:sz w:val="20"/>
                <w:szCs w:val="20"/>
              </w:rPr>
              <w:t xml:space="preserve">Set up slicers: date range (dim_date), ticker multi-select (dim_ticker)</w:t>
            </w:r>
          </w:p>
        </w:tc>
        <w:tc>
          <w:tcPr>
            <w:shd w:fill="F4F6F9" w:val="clear"/>
          </w:tcPr>
          <w:p>
            <w:pPr>
              <w:jc w:val="center"/>
            </w:pPr>
            <w:r>
              <w:rPr>
                <w:color w:val="1A1A2E"/>
                <w:sz w:val="20"/>
                <w:szCs w:val="20"/>
              </w:rPr>
              <w:t xml:space="preserve">□</w:t>
            </w:r>
          </w:p>
        </w:tc>
      </w:tr>
    </w:tbl>
    <w:p>
      <w:pPr>
        <w:spacing w:after="0" w:before="8"/>
      </w:pPr>
    </w:p>
    <w:p>
      <w:pPr>
        <w:pStyle w:val="Heading2"/>
        <w:spacing w:after="12" w:before="28"/>
        <w:rPr>
          <w:b/>
          <w:bCs/>
          <w:color w:val="2E6DA4"/>
          <w:sz w:val="32"/>
          <w:szCs w:val="32"/>
        </w:rPr>
      </w:pPr>
      <w:r>
        <w:t xml:space="preserve">Phase 5 — Alerts &amp; Publishing (Day 7–10)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shd w:fill="1E3A5F" w:val="clear"/>
            <w:vAlign w:val="center"/>
          </w:tcPr>
          <w:p>
            <w:pPr>
              <w:jc w:val="center"/>
            </w:pPr>
            <w:r>
              <w:rPr>
                <w:b/>
                <w:bCs/>
                <w:color w:val="FFFFFF"/>
                <w:sz w:val="20"/>
                <w:szCs w:val="20"/>
              </w:rPr>
              <w:t xml:space="preserve">Step</w:t>
            </w:r>
          </w:p>
        </w:tc>
        <w:tc>
          <w:tcPr>
            <w:shd w:fill="1E3A5F" w:val="clear"/>
            <w:vAlign w:val="center"/>
          </w:tcPr>
          <w:p>
            <w:pPr>
              <w:jc w:val="center"/>
            </w:pPr>
            <w:r>
              <w:rPr>
                <w:b/>
                <w:bCs/>
                <w:color w:val="FFFFFF"/>
                <w:sz w:val="20"/>
                <w:szCs w:val="20"/>
              </w:rPr>
              <w:t xml:space="preserve">Task</w:t>
            </w:r>
          </w:p>
        </w:tc>
      </w:tr>
      <w:tr>
        <w:tc>
          <w:tcPr>
            <w:shd w:fill="FFFFFF" w:val="clear"/>
          </w:tcPr>
          <w:p>
            <w:pPr>
              <w:jc w:val="left"/>
            </w:pPr>
            <w:r>
              <w:rPr>
                <w:color w:val="1A1A2E"/>
                <w:sz w:val="20"/>
                <w:szCs w:val="20"/>
              </w:rPr>
              <w:t xml:space="preserve">5.1</w:t>
            </w:r>
          </w:p>
        </w:tc>
        <w:tc>
          <w:tcPr>
            <w:shd w:fill="FFFFFF" w:val="clear"/>
          </w:tcPr>
          <w:p>
            <w:pPr>
              <w:jc w:val="center"/>
            </w:pPr>
            <w:r>
              <w:rPr>
                <w:color w:val="1A1A2E"/>
                <w:sz w:val="20"/>
                <w:szCs w:val="20"/>
              </w:rPr>
              <w:t xml:space="preserve">Set Power BI scheduled refresh: every 4 hours (requires gateway if PostgreSQL is on-premises)</w:t>
            </w:r>
          </w:p>
        </w:tc>
      </w:tr>
      <w:tr>
        <w:tc>
          <w:tcPr>
            <w:shd w:fill="F4F6F9" w:val="clear"/>
          </w:tcPr>
          <w:p>
            <w:pPr>
              <w:jc w:val="left"/>
            </w:pPr>
            <w:r>
              <w:rPr>
                <w:color w:val="1A1A2E"/>
                <w:sz w:val="20"/>
                <w:szCs w:val="20"/>
              </w:rPr>
              <w:t xml:space="preserve">5.2</w:t>
            </w:r>
          </w:p>
        </w:tc>
        <w:tc>
          <w:tcPr>
            <w:shd w:fill="F4F6F9" w:val="clear"/>
          </w:tcPr>
          <w:p>
            <w:pPr>
              <w:jc w:val="center"/>
            </w:pPr>
            <w:r>
              <w:rPr>
                <w:color w:val="1A1A2E"/>
                <w:sz w:val="20"/>
                <w:szCs w:val="20"/>
              </w:rPr>
              <w:t xml:space="preserve">Create data alerts on KPI cards: A/D ratio &lt; 45%, volume spike flag &gt; 0</w:t>
            </w:r>
          </w:p>
        </w:tc>
      </w:tr>
      <w:tr>
        <w:tc>
          <w:tcPr>
            <w:shd w:fill="FFFFFF" w:val="clear"/>
          </w:tcPr>
          <w:p>
            <w:pPr>
              <w:jc w:val="left"/>
            </w:pPr>
            <w:r>
              <w:rPr>
                <w:color w:val="1A1A2E"/>
                <w:sz w:val="20"/>
                <w:szCs w:val="20"/>
              </w:rPr>
              <w:t xml:space="preserve">5.3</w:t>
            </w:r>
          </w:p>
        </w:tc>
        <w:tc>
          <w:tcPr>
            <w:shd w:fill="FFFFFF" w:val="clear"/>
          </w:tcPr>
          <w:p>
            <w:pPr>
              <w:jc w:val="center"/>
            </w:pPr>
            <w:r>
              <w:rPr>
                <w:color w:val="1A1A2E"/>
                <w:sz w:val="20"/>
                <w:szCs w:val="20"/>
              </w:rPr>
              <w:t xml:space="preserve">Set up Power BI email subscriptions for daily Market Overview snapshot to portfolio team</w:t>
            </w:r>
          </w:p>
        </w:tc>
      </w:tr>
      <w:tr>
        <w:tc>
          <w:tcPr>
            <w:shd w:fill="F4F6F9" w:val="clear"/>
          </w:tcPr>
          <w:p>
            <w:pPr>
              <w:jc w:val="left"/>
            </w:pPr>
            <w:r>
              <w:rPr>
                <w:color w:val="1A1A2E"/>
                <w:sz w:val="20"/>
                <w:szCs w:val="20"/>
              </w:rPr>
              <w:t xml:space="preserve">5.4</w:t>
            </w:r>
          </w:p>
        </w:tc>
        <w:tc>
          <w:tcPr>
            <w:shd w:fill="F4F6F9" w:val="clear"/>
          </w:tcPr>
          <w:p>
            <w:pPr>
              <w:jc w:val="center"/>
            </w:pPr>
            <w:r>
              <w:rPr>
                <w:color w:val="1A1A2E"/>
                <w:sz w:val="20"/>
                <w:szCs w:val="20"/>
              </w:rPr>
              <w:t xml:space="preserve">Publish to Power BI Service workspace (requires Power BI Pro license per user)</w:t>
            </w:r>
          </w:p>
        </w:tc>
      </w:tr>
      <w:tr>
        <w:tc>
          <w:tcPr>
            <w:shd w:fill="FFFFFF" w:val="clear"/>
          </w:tcPr>
          <w:p>
            <w:pPr>
              <w:jc w:val="left"/>
            </w:pPr>
            <w:r>
              <w:rPr>
                <w:color w:val="1A1A2E"/>
                <w:sz w:val="20"/>
                <w:szCs w:val="20"/>
              </w:rPr>
              <w:t xml:space="preserve">5.5</w:t>
            </w:r>
          </w:p>
        </w:tc>
        <w:tc>
          <w:tcPr>
            <w:shd w:fill="FFFFFF" w:val="clear"/>
          </w:tcPr>
          <w:p>
            <w:pPr>
              <w:jc w:val="center"/>
            </w:pPr>
            <w:r>
              <w:rPr>
                <w:color w:val="1A1A2E"/>
                <w:sz w:val="20"/>
                <w:szCs w:val="20"/>
              </w:rPr>
              <w:t xml:space="preserve">Create Power BI App for distribution to stakeholders with row-level security if needed</w:t>
            </w:r>
          </w:p>
        </w:tc>
      </w:tr>
      <w:tr>
        <w:tc>
          <w:tcPr>
            <w:shd w:fill="F4F6F9" w:val="clear"/>
          </w:tcPr>
          <w:p>
            <w:pPr>
              <w:jc w:val="left"/>
            </w:pPr>
            <w:r>
              <w:rPr>
                <w:color w:val="1A1A2E"/>
                <w:sz w:val="20"/>
                <w:szCs w:val="20"/>
              </w:rPr>
              <w:t xml:space="preserve">5.6</w:t>
            </w:r>
          </w:p>
        </w:tc>
        <w:tc>
          <w:tcPr>
            <w:shd w:fill="F4F6F9" w:val="clear"/>
          </w:tcPr>
          <w:p>
            <w:pPr>
              <w:jc w:val="center"/>
            </w:pPr>
            <w:r>
              <w:rPr>
                <w:color w:val="1A1A2E"/>
                <w:sz w:val="20"/>
                <w:szCs w:val="20"/>
              </w:rPr>
              <w:t xml:space="preserve">Test mobile layout (Power BI Mobile view) — ensure KPI cards are visible on phone</w:t>
            </w:r>
          </w:p>
        </w:tc>
      </w:tr>
    </w:tbl>
    <w:p>
      <w:pPr>
        <w:spacing w:after="0" w:before="12"/>
      </w:pPr>
    </w:p>
    <w:p>
      <w:r>
        <w:br w:type="page"/>
      </w:r>
    </w:p>
    <w:p>
      <w:pPr>
        <w:pStyle w:val="Heading1"/>
        <w:pBdr>
          <w:bottom w:val="single" w:color="C8A951" w:sz="6" w:space="4"/>
        </w:pBdr>
        <w:spacing w:after="16" w:before="36"/>
        <w:rPr>
          <w:b/>
          <w:bCs/>
          <w:color w:val="1E3A5F"/>
          <w:sz w:val="40"/>
          <w:szCs w:val="40"/>
        </w:rPr>
      </w:pPr>
      <w:r>
        <w:t xml:space="preserve">12.  Future Enhancements (M6+)</w:t>
      </w:r>
    </w:p>
    <w:p>
      <w:pPr>
        <w:spacing w:after="8" w:before="8"/>
        <w:jc w:val="both"/>
      </w:pPr>
      <w:r>
        <w:rPr>
          <w:color w:val="1A1A2E"/>
          <w:sz w:val="22"/>
          <w:szCs w:val="22"/>
        </w:rPr>
        <w:t xml:space="preserve">These enhancements are out of scope for the current dashboard but represent the natural next steps for the analytics platform.</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shd w:fill="1E3A5F" w:val="clear"/>
            <w:vAlign w:val="center"/>
          </w:tcPr>
          <w:p>
            <w:pPr>
              <w:jc w:val="center"/>
            </w:pPr>
            <w:r>
              <w:rPr>
                <w:b/>
                <w:bCs/>
                <w:color w:val="FFFFFF"/>
                <w:sz w:val="20"/>
                <w:szCs w:val="20"/>
              </w:rPr>
              <w:t xml:space="preserve">Enhancement</w:t>
            </w:r>
          </w:p>
        </w:tc>
        <w:tc>
          <w:tcPr>
            <w:shd w:fill="1E3A5F" w:val="clear"/>
            <w:vAlign w:val="center"/>
          </w:tcPr>
          <w:p>
            <w:pPr>
              <w:jc w:val="center"/>
            </w:pPr>
            <w:r>
              <w:rPr>
                <w:b/>
                <w:bCs/>
                <w:color w:val="FFFFFF"/>
                <w:sz w:val="20"/>
                <w:szCs w:val="20"/>
              </w:rPr>
              <w:t xml:space="preserve">Data Required</w:t>
            </w:r>
          </w:p>
        </w:tc>
        <w:tc>
          <w:tcPr>
            <w:shd w:fill="1E3A5F" w:val="clear"/>
            <w:vAlign w:val="center"/>
          </w:tcPr>
          <w:p>
            <w:pPr>
              <w:jc w:val="center"/>
            </w:pPr>
            <w:r>
              <w:rPr>
                <w:b/>
                <w:bCs/>
                <w:color w:val="FFFFFF"/>
                <w:sz w:val="20"/>
                <w:szCs w:val="20"/>
              </w:rPr>
              <w:t xml:space="preserve">Business Value</w:t>
            </w:r>
          </w:p>
        </w:tc>
      </w:tr>
      <w:tr>
        <w:tc>
          <w:tcPr>
            <w:shd w:fill="FFFFFF" w:val="clear"/>
          </w:tcPr>
          <w:p>
            <w:pPr>
              <w:jc w:val="left"/>
            </w:pPr>
            <w:r>
              <w:rPr>
                <w:color w:val="1A1A2E"/>
                <w:sz w:val="20"/>
                <w:szCs w:val="20"/>
              </w:rPr>
              <w:t xml:space="preserve">Sector/Industry classification</w:t>
            </w:r>
          </w:p>
        </w:tc>
        <w:tc>
          <w:tcPr>
            <w:shd w:fill="FFFFFF" w:val="clear"/>
          </w:tcPr>
          <w:p>
            <w:pPr>
              <w:jc w:val="center"/>
            </w:pPr>
            <w:r>
              <w:rPr>
                <w:color w:val="1A1A2E"/>
                <w:sz w:val="20"/>
                <w:szCs w:val="20"/>
              </w:rPr>
              <w:t xml:space="preserve">External CSV mapped to dim_ticker</w:t>
            </w:r>
          </w:p>
        </w:tc>
        <w:tc>
          <w:tcPr>
            <w:shd w:fill="FFFFFF" w:val="clear"/>
          </w:tcPr>
          <w:p>
            <w:pPr>
              <w:jc w:val="center"/>
            </w:pPr>
            <w:r>
              <w:rPr>
                <w:color w:val="1A1A2E"/>
                <w:sz w:val="20"/>
                <w:szCs w:val="20"/>
              </w:rPr>
              <w:t xml:space="preserve">Enable sector rotation analysis and sector-weighted portfolio construction</w:t>
            </w:r>
          </w:p>
        </w:tc>
      </w:tr>
      <w:tr>
        <w:tc>
          <w:tcPr>
            <w:shd w:fill="F4F6F9" w:val="clear"/>
          </w:tcPr>
          <w:p>
            <w:pPr>
              <w:jc w:val="left"/>
            </w:pPr>
            <w:r>
              <w:rPr>
                <w:color w:val="1A1A2E"/>
                <w:sz w:val="20"/>
                <w:szCs w:val="20"/>
              </w:rPr>
              <w:t xml:space="preserve">Sentiment analysis overlay</w:t>
            </w:r>
          </w:p>
        </w:tc>
        <w:tc>
          <w:tcPr>
            <w:shd w:fill="F4F6F9" w:val="clear"/>
          </w:tcPr>
          <w:p>
            <w:pPr>
              <w:jc w:val="center"/>
            </w:pPr>
            <w:r>
              <w:rPr>
                <w:color w:val="1A1A2E"/>
                <w:sz w:val="20"/>
                <w:szCs w:val="20"/>
              </w:rPr>
              <w:t xml:space="preserve">News API + NLP model output</w:t>
            </w:r>
          </w:p>
        </w:tc>
        <w:tc>
          <w:tcPr>
            <w:shd w:fill="F4F6F9" w:val="clear"/>
          </w:tcPr>
          <w:p>
            <w:pPr>
              <w:jc w:val="center"/>
            </w:pPr>
            <w:r>
              <w:rPr>
                <w:color w:val="1A1A2E"/>
                <w:sz w:val="20"/>
                <w:szCs w:val="20"/>
              </w:rPr>
              <w:t xml:space="preserve">Correlate news sentiment with price movements to predict short-term direction</w:t>
            </w:r>
          </w:p>
        </w:tc>
      </w:tr>
      <w:tr>
        <w:tc>
          <w:tcPr>
            <w:shd w:fill="FFFFFF" w:val="clear"/>
          </w:tcPr>
          <w:p>
            <w:pPr>
              <w:jc w:val="left"/>
            </w:pPr>
            <w:r>
              <w:rPr>
                <w:color w:val="1A1A2E"/>
                <w:sz w:val="20"/>
                <w:szCs w:val="20"/>
              </w:rPr>
              <w:t xml:space="preserve">Options flow integration</w:t>
            </w:r>
          </w:p>
        </w:tc>
        <w:tc>
          <w:tcPr>
            <w:shd w:fill="FFFFFF" w:val="clear"/>
          </w:tcPr>
          <w:p>
            <w:pPr>
              <w:jc w:val="center"/>
            </w:pPr>
            <w:r>
              <w:rPr>
                <w:color w:val="1A1A2E"/>
                <w:sz w:val="20"/>
                <w:szCs w:val="20"/>
              </w:rPr>
              <w:t xml:space="preserve">Options chain data (CBOE API)</w:t>
            </w:r>
          </w:p>
        </w:tc>
        <w:tc>
          <w:tcPr>
            <w:shd w:fill="FFFFFF" w:val="clear"/>
          </w:tcPr>
          <w:p>
            <w:pPr>
              <w:jc w:val="center"/>
            </w:pPr>
            <w:r>
              <w:rPr>
                <w:color w:val="1A1A2E"/>
                <w:sz w:val="20"/>
                <w:szCs w:val="20"/>
              </w:rPr>
              <w:t xml:space="preserve">Identify unusual options activity that precedes major moves</w:t>
            </w:r>
          </w:p>
        </w:tc>
      </w:tr>
      <w:tr>
        <w:tc>
          <w:tcPr>
            <w:shd w:fill="F4F6F9" w:val="clear"/>
          </w:tcPr>
          <w:p>
            <w:pPr>
              <w:jc w:val="left"/>
            </w:pPr>
            <w:r>
              <w:rPr>
                <w:color w:val="1A1A2E"/>
                <w:sz w:val="20"/>
                <w:szCs w:val="20"/>
              </w:rPr>
              <w:t xml:space="preserve">Portfolio simulator</w:t>
            </w:r>
          </w:p>
        </w:tc>
        <w:tc>
          <w:tcPr>
            <w:shd w:fill="F4F6F9" w:val="clear"/>
          </w:tcPr>
          <w:p>
            <w:pPr>
              <w:jc w:val="center"/>
            </w:pPr>
            <w:r>
              <w:rPr>
                <w:color w:val="1A1A2E"/>
                <w:sz w:val="20"/>
                <w:szCs w:val="20"/>
              </w:rPr>
              <w:t xml:space="preserve">User-defined portfolio weights input</w:t>
            </w:r>
          </w:p>
        </w:tc>
        <w:tc>
          <w:tcPr>
            <w:shd w:fill="F4F6F9" w:val="clear"/>
          </w:tcPr>
          <w:p>
            <w:pPr>
              <w:jc w:val="center"/>
            </w:pPr>
            <w:r>
              <w:rPr>
                <w:color w:val="1A1A2E"/>
                <w:sz w:val="20"/>
                <w:szCs w:val="20"/>
              </w:rPr>
              <w:t xml:space="preserve">Real-time P&amp;L tracking and risk monitoring for specific holdings</w:t>
            </w:r>
          </w:p>
        </w:tc>
      </w:tr>
      <w:tr>
        <w:tc>
          <w:tcPr>
            <w:shd w:fill="FFFFFF" w:val="clear"/>
          </w:tcPr>
          <w:p>
            <w:pPr>
              <w:jc w:val="left"/>
            </w:pPr>
            <w:r>
              <w:rPr>
                <w:color w:val="1A1A2E"/>
                <w:sz w:val="20"/>
                <w:szCs w:val="20"/>
              </w:rPr>
              <w:t xml:space="preserve">Machine learning price targets</w:t>
            </w:r>
          </w:p>
        </w:tc>
        <w:tc>
          <w:tcPr>
            <w:shd w:fill="FFFFFF" w:val="clear"/>
          </w:tcPr>
          <w:p>
            <w:pPr>
              <w:jc w:val="center"/>
            </w:pPr>
            <w:r>
              <w:rPr>
                <w:color w:val="1A1A2E"/>
                <w:sz w:val="20"/>
                <w:szCs w:val="20"/>
              </w:rPr>
              <w:t xml:space="preserve">MLlib predictions from M4 milestone</w:t>
            </w:r>
          </w:p>
        </w:tc>
        <w:tc>
          <w:tcPr>
            <w:shd w:fill="FFFFFF" w:val="clear"/>
          </w:tcPr>
          <w:p>
            <w:pPr>
              <w:jc w:val="center"/>
            </w:pPr>
            <w:r>
              <w:rPr>
                <w:color w:val="1A1A2E"/>
                <w:sz w:val="20"/>
                <w:szCs w:val="20"/>
              </w:rPr>
              <w:t xml:space="preserve">Surface AI-generated price targets alongside technical analysis</w:t>
            </w:r>
          </w:p>
        </w:tc>
      </w:tr>
      <w:tr>
        <w:tc>
          <w:tcPr>
            <w:shd w:fill="F4F6F9" w:val="clear"/>
          </w:tcPr>
          <w:p>
            <w:pPr>
              <w:jc w:val="left"/>
            </w:pPr>
            <w:r>
              <w:rPr>
                <w:color w:val="1A1A2E"/>
                <w:sz w:val="20"/>
                <w:szCs w:val="20"/>
              </w:rPr>
              <w:t xml:space="preserve">RAG chatbot integration</w:t>
            </w:r>
          </w:p>
        </w:tc>
        <w:tc>
          <w:tcPr>
            <w:shd w:fill="F4F6F9" w:val="clear"/>
          </w:tcPr>
          <w:p>
            <w:pPr>
              <w:jc w:val="center"/>
            </w:pPr>
            <w:r>
              <w:rPr>
                <w:color w:val="1A1A2E"/>
                <w:sz w:val="20"/>
                <w:szCs w:val="20"/>
              </w:rPr>
              <w:t xml:space="preserve">M5 RAG assistant (planned)</w:t>
            </w:r>
          </w:p>
        </w:tc>
        <w:tc>
          <w:tcPr>
            <w:shd w:fill="F4F6F9" w:val="clear"/>
          </w:tcPr>
          <w:p>
            <w:pPr>
              <w:jc w:val="center"/>
            </w:pPr>
            <w:r>
              <w:rPr>
                <w:color w:val="1A1A2E"/>
                <w:sz w:val="20"/>
                <w:szCs w:val="20"/>
              </w:rPr>
              <w:t xml:space="preserve">Natural language querying of the analytics database for non-technical users</w:t>
            </w:r>
          </w:p>
        </w:tc>
      </w:tr>
      <w:tr>
        <w:tc>
          <w:tcPr>
            <w:shd w:fill="FFFFFF" w:val="clear"/>
          </w:tcPr>
          <w:p>
            <w:pPr>
              <w:jc w:val="left"/>
            </w:pPr>
            <w:r>
              <w:rPr>
                <w:color w:val="1A1A2E"/>
                <w:sz w:val="20"/>
                <w:szCs w:val="20"/>
              </w:rPr>
              <w:t xml:space="preserve">Correlation matrix heatmap</w:t>
            </w:r>
          </w:p>
        </w:tc>
        <w:tc>
          <w:tcPr>
            <w:shd w:fill="FFFFFF" w:val="clear"/>
          </w:tcPr>
          <w:p>
            <w:pPr>
              <w:jc w:val="center"/>
            </w:pPr>
            <w:r>
              <w:rPr>
                <w:color w:val="1A1A2E"/>
                <w:sz w:val="20"/>
                <w:szCs w:val="20"/>
              </w:rPr>
              <w:t xml:space="preserve">Pivot of monthly_performance by ticker</w:t>
            </w:r>
          </w:p>
        </w:tc>
        <w:tc>
          <w:tcPr>
            <w:shd w:fill="FFFFFF" w:val="clear"/>
          </w:tcPr>
          <w:p>
            <w:pPr>
              <w:jc w:val="center"/>
            </w:pPr>
            <w:r>
              <w:rPr>
                <w:color w:val="1A1A2E"/>
                <w:sz w:val="20"/>
                <w:szCs w:val="20"/>
              </w:rPr>
              <w:t xml:space="preserve">Identify over-correlated positions for diversification analysis</w:t>
            </w:r>
          </w:p>
        </w:tc>
      </w:tr>
      <w:tr>
        <w:tc>
          <w:tcPr>
            <w:shd w:fill="F4F6F9" w:val="clear"/>
          </w:tcPr>
          <w:p>
            <w:pPr>
              <w:jc w:val="left"/>
            </w:pPr>
            <w:r>
              <w:rPr>
                <w:color w:val="1A1A2E"/>
                <w:sz w:val="20"/>
                <w:szCs w:val="20"/>
              </w:rPr>
              <w:t xml:space="preserve">Earnings calendar integration</w:t>
            </w:r>
          </w:p>
        </w:tc>
        <w:tc>
          <w:tcPr>
            <w:shd w:fill="F4F6F9" w:val="clear"/>
          </w:tcPr>
          <w:p>
            <w:pPr>
              <w:jc w:val="center"/>
            </w:pPr>
            <w:r>
              <w:rPr>
                <w:color w:val="1A1A2E"/>
                <w:sz w:val="20"/>
                <w:szCs w:val="20"/>
              </w:rPr>
              <w:t xml:space="preserve">SEC EDGAR API</w:t>
            </w:r>
          </w:p>
        </w:tc>
        <w:tc>
          <w:tcPr>
            <w:shd w:fill="F4F6F9" w:val="clear"/>
          </w:tcPr>
          <w:p>
            <w:pPr>
              <w:jc w:val="center"/>
            </w:pPr>
            <w:r>
              <w:rPr>
                <w:color w:val="1A1A2E"/>
                <w:sz w:val="20"/>
                <w:szCs w:val="20"/>
              </w:rPr>
              <w:t xml:space="preserve">Overlay earnings dates on price charts to measure earnings reaction magnitude</w:t>
            </w:r>
          </w:p>
        </w:tc>
      </w:tr>
    </w:tbl>
    <w:p>
      <w:pPr>
        <w:spacing w:after="0" w:before="12"/>
      </w:pPr>
    </w:p>
    <w:p>
      <w:pPr>
        <w:pBdr>
          <w:bottom w:val="single" w:color="D0D8E0" w:sz="4" w:space="2"/>
        </w:pBdr>
        <w:spacing w:after="12" w:before="12"/>
      </w:pPr>
    </w:p>
    <w:p>
      <w:pPr>
        <w:spacing w:before="24"/>
        <w:jc w:val="center"/>
      </w:pPr>
      <w:r>
        <w:rPr>
          <w:i/>
          <w:iCs/>
          <w:color w:val="888888"/>
          <w:sz w:val="18"/>
          <w:szCs w:val="18"/>
        </w:rPr>
        <w:t xml:space="preserve">Document End — Real-Time US Stocks Data Pipeline · M5 Power BI Dashboard</w:t>
      </w:r>
    </w:p>
    <w:p>
      <w:pPr>
        <w:jc w:val="center"/>
      </w:pPr>
      <w:r>
        <w:rPr>
          <w:color w:val="888888"/>
          <w:sz w:val="18"/>
          <w:szCs w:val="18"/>
        </w:rPr>
        <w:t xml:space="preserve">Built on: Apache Kafka · Apache Spark · MinIO · PostgreSQL · Power BI</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4" w:space="2"/>
      </w:pBdr>
      <w:jc w:val="center"/>
    </w:pPr>
    <w:r>
      <w:rPr>
        <w:color w:val="888888"/>
        <w:sz w:val="18"/>
        <w:szCs w:val="18"/>
      </w:rPr>
      <w:t xml:space="preserve">Confidential  ·  Internal Use Only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0" w:sz="4" w:space="2"/>
      </w:pBdr>
      <w:jc w:val="right"/>
    </w:pPr>
    <w:r>
      <w:rPr>
        <w:color w:val="888888"/>
        <w:sz w:val="18"/>
        <w:szCs w:val="18"/>
      </w:rPr>
      <w:t xml:space="preserve">Real-Time US Stocks Data Pipeline  ·  M5 Power BI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1A1A2E"/>
      <w:sz w:val="22"/>
      <w:szCs w:val="22"/>
    </w:rPr>
  </w:style>
  <w:style w:type="paragraph" w:styleId="Heading1">
    <w:name w:val="Heading 1"/>
    <w:basedOn w:val="Normal"/>
    <w:pPr>
      <w:spacing w:after="12" w:before="32"/>
    </w:pPr>
    <w:rPr>
      <w:b/>
      <w:bCs/>
      <w:color w:val="1E3A5F"/>
      <w:sz w:val="40"/>
      <w:szCs w:val="40"/>
    </w:rPr>
  </w:style>
  <w:style w:type="paragraph" w:styleId="Heading2">
    <w:name w:val="Heading 2"/>
    <w:basedOn w:val="Normal"/>
    <w:pPr>
      <w:spacing w:after="8" w:before="24"/>
    </w:pPr>
    <w:rPr>
      <w:b/>
      <w:bCs/>
      <w:color w:val="2E6DA4"/>
      <w:sz w:val="32"/>
      <w:szCs w:val="32"/>
    </w:rPr>
  </w:style>
  <w:style w:type="paragraph" w:styleId="Heading3">
    <w:name w:val="Heading 3"/>
    <w:basedOn w:val="Normal"/>
    <w:pPr>
      <w:spacing w:after="6" w:before="16"/>
    </w:pPr>
    <w:rPr>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 Power BI Dashboard — Professional Insights &amp; Business Recommendations</dc:title>
  <dc:creator>Real-Time US Stocks Data Pipeline</dc:creator>
  <cp:lastModifiedBy>Un-named</cp:lastModifiedBy>
  <cp:revision>1</cp:revision>
  <dcterms:created xsi:type="dcterms:W3CDTF">2026-09-11T23:10:18.699Z</dcterms:created>
  <dcterms:modified xsi:type="dcterms:W3CDTF">2026-09-11T23:10:18.710Z</dcterms:modified>
</cp:coreProperties>
</file>

<file path=docProps/custom.xml><?xml version="1.0" encoding="utf-8"?>
<Properties xmlns="http://schemas.openxmlformats.org/officeDocument/2006/custom-properties" xmlns:vt="http://schemas.openxmlformats.org/officeDocument/2006/docPropsVTypes"/>
</file>