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045BFC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045BFC">
        <w:rPr>
          <w:rFonts w:ascii="Georgia" w:hAnsi="Georgia" w:cs="Sakkal Majalla"/>
          <w:bCs/>
          <w:color w:val="000000"/>
          <w:sz w:val="52"/>
          <w:szCs w:val="52"/>
        </w:rPr>
        <w:t xml:space="preserve">Release and Development Management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045BFC">
      <w:pPr>
        <w:pStyle w:val="REGA2"/>
        <w:jc w:val="left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E44783">
        <w:t xml:space="preserve">to </w:t>
      </w:r>
      <w:r w:rsidR="00045BFC">
        <w:t>ensure the efficient planning and implementation of upcoming releases based on the relevant project plan</w:t>
      </w:r>
      <w:r w:rsidR="00EF4E99">
        <w:t xml:space="preserve"> in order that the functionality and operational improvements they contain can create their intended value</w:t>
      </w:r>
      <w:r w:rsidR="00045BFC">
        <w:t>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045BFC">
      <w:pPr>
        <w:pStyle w:val="REGA2"/>
      </w:pPr>
      <w:r>
        <w:t xml:space="preserve">The procedure starts </w:t>
      </w:r>
      <w:r w:rsidR="002134C0">
        <w:t xml:space="preserve">with </w:t>
      </w:r>
      <w:r w:rsidR="00045BFC">
        <w:t>the relevant project plan and ends with the release plan and updated activity log.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045BFC" w:rsidRDefault="00045BFC" w:rsidP="00EF4E99">
      <w:pPr>
        <w:pStyle w:val="REGA3"/>
      </w:pPr>
      <w:r>
        <w:t xml:space="preserve">The </w:t>
      </w:r>
      <w:r w:rsidR="00EF4E99">
        <w:t xml:space="preserve">IT </w:t>
      </w:r>
      <w:r w:rsidR="00803D5A">
        <w:t xml:space="preserve">Applications </w:t>
      </w:r>
      <w:r w:rsidR="00EF4E99">
        <w:t>Specialist</w:t>
      </w:r>
      <w:r>
        <w:t xml:space="preserve"> plans all upcoming releases based on the project plan and develop</w:t>
      </w:r>
      <w:r w:rsidR="00EF4E99">
        <w:t>s</w:t>
      </w:r>
      <w:r>
        <w:t xml:space="preserve"> </w:t>
      </w:r>
      <w:r w:rsidR="00EF4E99">
        <w:t xml:space="preserve">the </w:t>
      </w:r>
      <w:r>
        <w:t>schedule for building, testing and deploying the release.</w:t>
      </w:r>
    </w:p>
    <w:p w:rsidR="00045BFC" w:rsidRDefault="00045BFC" w:rsidP="00045BFC">
      <w:pPr>
        <w:pStyle w:val="REGA3"/>
      </w:pPr>
      <w:r>
        <w:t xml:space="preserve">The IT </w:t>
      </w:r>
      <w:r w:rsidR="00803D5A">
        <w:t xml:space="preserve">Applications </w:t>
      </w:r>
      <w:r>
        <w:t>Manager determines whether to a</w:t>
      </w:r>
      <w:r w:rsidR="00EF4E99">
        <w:t>pprove the release plan or not.</w:t>
      </w:r>
    </w:p>
    <w:p w:rsidR="00B6624F" w:rsidRDefault="00B6624F" w:rsidP="00B6624F">
      <w:pPr>
        <w:pStyle w:val="REGA3"/>
        <w:numPr>
          <w:ilvl w:val="1"/>
          <w:numId w:val="8"/>
        </w:numPr>
        <w:ind w:left="1440"/>
      </w:pPr>
      <w:r w:rsidRPr="00B6624F">
        <w:rPr>
          <w:b/>
          <w:bCs w:val="0"/>
        </w:rPr>
        <w:t>Case A – Yes;</w:t>
      </w:r>
      <w:r>
        <w:t xml:space="preserve"> in case the release plan is approved, proceed to step 3.3.</w:t>
      </w:r>
    </w:p>
    <w:p w:rsidR="00B6624F" w:rsidRDefault="00B6624F" w:rsidP="00B6624F">
      <w:pPr>
        <w:pStyle w:val="REGA3"/>
        <w:numPr>
          <w:ilvl w:val="1"/>
          <w:numId w:val="8"/>
        </w:numPr>
        <w:ind w:left="1440"/>
      </w:pPr>
      <w:r w:rsidRPr="00B6624F">
        <w:rPr>
          <w:b/>
          <w:bCs w:val="0"/>
        </w:rPr>
        <w:t>Case B – No;</w:t>
      </w:r>
      <w:r>
        <w:t xml:space="preserve"> in case the release plan is not approved, return to step 3.1.</w:t>
      </w:r>
    </w:p>
    <w:p w:rsidR="00EF4E99" w:rsidRDefault="00EF4E99" w:rsidP="00EF4E99">
      <w:pPr>
        <w:pStyle w:val="REGA3"/>
      </w:pPr>
      <w:r>
        <w:t>The IT General Manager determines whether to approve the release plan or not.</w:t>
      </w:r>
    </w:p>
    <w:p w:rsidR="00B6624F" w:rsidRDefault="00B6624F" w:rsidP="00B6624F">
      <w:pPr>
        <w:pStyle w:val="REGA3"/>
        <w:numPr>
          <w:ilvl w:val="1"/>
          <w:numId w:val="8"/>
        </w:numPr>
        <w:ind w:left="1440"/>
      </w:pPr>
      <w:r w:rsidRPr="00B6624F">
        <w:rPr>
          <w:b/>
          <w:bCs w:val="0"/>
        </w:rPr>
        <w:t>Case A – Yes;</w:t>
      </w:r>
      <w:r>
        <w:t xml:space="preserve"> in case the release plan is approved, proceed to step 3.4.</w:t>
      </w:r>
    </w:p>
    <w:p w:rsidR="00B6624F" w:rsidRDefault="00B6624F" w:rsidP="00B6624F">
      <w:pPr>
        <w:pStyle w:val="REGA3"/>
        <w:numPr>
          <w:ilvl w:val="1"/>
          <w:numId w:val="8"/>
        </w:numPr>
        <w:ind w:left="1440"/>
      </w:pPr>
      <w:r w:rsidRPr="00B6624F">
        <w:rPr>
          <w:b/>
          <w:bCs w:val="0"/>
        </w:rPr>
        <w:t>Case B – No;</w:t>
      </w:r>
      <w:r>
        <w:t xml:space="preserve"> in case the release plan is not approved, return to step 3.1.</w:t>
      </w:r>
    </w:p>
    <w:p w:rsidR="00045BFC" w:rsidRDefault="00045BFC" w:rsidP="00EF4E99">
      <w:pPr>
        <w:pStyle w:val="REGA3"/>
      </w:pPr>
      <w:r>
        <w:t xml:space="preserve">The </w:t>
      </w:r>
      <w:r w:rsidR="00EF4E99">
        <w:t xml:space="preserve">IT </w:t>
      </w:r>
      <w:r w:rsidR="00803D5A">
        <w:t xml:space="preserve">Applications </w:t>
      </w:r>
      <w:r w:rsidR="00EF4E99">
        <w:t>Specialist/Third-party Supplier</w:t>
      </w:r>
      <w:r>
        <w:t xml:space="preserve"> </w:t>
      </w:r>
      <w:r w:rsidR="00EF4E99">
        <w:t>prepares the release build, installation and remediation scripts</w:t>
      </w:r>
      <w:r>
        <w:t xml:space="preserve"> </w:t>
      </w:r>
      <w:r w:rsidR="00EF4E99">
        <w:t xml:space="preserve">as well as the test environment </w:t>
      </w:r>
      <w:r>
        <w:t>as per requirement.</w:t>
      </w:r>
    </w:p>
    <w:p w:rsidR="00EF4E99" w:rsidRDefault="00EF4E99" w:rsidP="00EF4E99">
      <w:pPr>
        <w:pStyle w:val="REGA3"/>
      </w:pPr>
      <w:r>
        <w:t xml:space="preserve">The IT </w:t>
      </w:r>
      <w:r w:rsidR="00803D5A">
        <w:t xml:space="preserve">Applications </w:t>
      </w:r>
      <w:r>
        <w:t>Specialist/Third-party Supplier will gather all the release components and prepare the test data in order to perform release testing. Release/installation packages, configuration and remediation plans will be tested.</w:t>
      </w:r>
    </w:p>
    <w:p w:rsidR="00045BFC" w:rsidRDefault="00045BFC" w:rsidP="00EF4E99">
      <w:pPr>
        <w:pStyle w:val="REGA3"/>
      </w:pPr>
      <w:r>
        <w:t xml:space="preserve">The </w:t>
      </w:r>
      <w:r w:rsidR="00EF4E99">
        <w:t xml:space="preserve">IT </w:t>
      </w:r>
      <w:r w:rsidR="00803D5A">
        <w:t xml:space="preserve">Applications </w:t>
      </w:r>
      <w:r w:rsidR="00EF4E99">
        <w:t>Manager</w:t>
      </w:r>
      <w:r w:rsidR="00803D5A">
        <w:t>/Third-party Supplier</w:t>
      </w:r>
      <w:r w:rsidR="00EF4E99">
        <w:t xml:space="preserve"> </w:t>
      </w:r>
      <w:r>
        <w:t xml:space="preserve">determines whether </w:t>
      </w:r>
      <w:r w:rsidR="00803D5A">
        <w:t>User Acceptance Testing (</w:t>
      </w:r>
      <w:r>
        <w:t>UAT</w:t>
      </w:r>
      <w:r w:rsidR="00803D5A">
        <w:t>)</w:t>
      </w:r>
      <w:r>
        <w:t xml:space="preserve"> is required based on the nature of release</w:t>
      </w:r>
      <w:r w:rsidR="00EF4E99">
        <w:t>.</w:t>
      </w:r>
    </w:p>
    <w:p w:rsidR="00045BFC" w:rsidRDefault="00B6624F" w:rsidP="00B6624F">
      <w:pPr>
        <w:pStyle w:val="REGA3"/>
        <w:numPr>
          <w:ilvl w:val="1"/>
          <w:numId w:val="8"/>
        </w:numPr>
        <w:ind w:left="1440"/>
      </w:pPr>
      <w:r w:rsidRPr="00B6624F">
        <w:rPr>
          <w:b/>
          <w:bCs w:val="0"/>
        </w:rPr>
        <w:t>Case A – Yes;</w:t>
      </w:r>
      <w:r>
        <w:t xml:space="preserve"> in case UAT is required, proceed to step 3.7.</w:t>
      </w:r>
    </w:p>
    <w:p w:rsidR="00045BFC" w:rsidRDefault="00B6624F" w:rsidP="00B6624F">
      <w:pPr>
        <w:pStyle w:val="REGA3"/>
        <w:numPr>
          <w:ilvl w:val="1"/>
          <w:numId w:val="8"/>
        </w:numPr>
        <w:ind w:left="1440"/>
      </w:pPr>
      <w:r w:rsidRPr="00B6624F">
        <w:rPr>
          <w:b/>
          <w:bCs w:val="0"/>
        </w:rPr>
        <w:t xml:space="preserve">Case B – </w:t>
      </w:r>
      <w:r w:rsidR="00045BFC" w:rsidRPr="00B6624F">
        <w:rPr>
          <w:b/>
          <w:bCs w:val="0"/>
        </w:rPr>
        <w:t>No</w:t>
      </w:r>
      <w:r w:rsidRPr="00B6624F">
        <w:rPr>
          <w:b/>
          <w:bCs w:val="0"/>
        </w:rPr>
        <w:t>;</w:t>
      </w:r>
      <w:r>
        <w:t xml:space="preserve"> in case UAT is </w:t>
      </w:r>
      <w:r w:rsidR="00803D5A">
        <w:t>not required, return to step 3.8</w:t>
      </w:r>
      <w:r>
        <w:t>.</w:t>
      </w:r>
    </w:p>
    <w:p w:rsidR="00045BFC" w:rsidRDefault="00045BFC" w:rsidP="00EF4E99">
      <w:pPr>
        <w:pStyle w:val="REGA3"/>
      </w:pPr>
      <w:r>
        <w:lastRenderedPageBreak/>
        <w:t xml:space="preserve">The </w:t>
      </w:r>
      <w:r w:rsidR="00EF4E99">
        <w:t xml:space="preserve">IT </w:t>
      </w:r>
      <w:r w:rsidR="00803D5A">
        <w:t xml:space="preserve">Applications </w:t>
      </w:r>
      <w:r w:rsidR="00EF4E99">
        <w:t>Manager</w:t>
      </w:r>
      <w:r w:rsidR="00803D5A">
        <w:t>/Third-party Supplier</w:t>
      </w:r>
      <w:r w:rsidR="00EF4E99">
        <w:t xml:space="preserve"> </w:t>
      </w:r>
      <w:r>
        <w:t xml:space="preserve">conducts UAT as appropriate. </w:t>
      </w:r>
    </w:p>
    <w:p w:rsidR="00045BFC" w:rsidRDefault="00045BFC" w:rsidP="00803D5A">
      <w:pPr>
        <w:pStyle w:val="REGA3"/>
      </w:pPr>
      <w:r>
        <w:t xml:space="preserve">The </w:t>
      </w:r>
      <w:r w:rsidR="00803D5A">
        <w:t xml:space="preserve">IT Applications Specialist/Third-party Supplier </w:t>
      </w:r>
      <w:r>
        <w:t>deploys release components into the live environment.</w:t>
      </w:r>
    </w:p>
    <w:p w:rsidR="00EF4E99" w:rsidRDefault="00045BFC" w:rsidP="00EF4E99">
      <w:pPr>
        <w:pStyle w:val="REGA3"/>
      </w:pPr>
      <w:r>
        <w:t xml:space="preserve">The </w:t>
      </w:r>
      <w:r w:rsidR="00EF4E99">
        <w:t xml:space="preserve">IT </w:t>
      </w:r>
      <w:r w:rsidR="00803D5A">
        <w:t xml:space="preserve">Applications </w:t>
      </w:r>
      <w:r w:rsidR="00EF4E99">
        <w:t xml:space="preserve">Manager </w:t>
      </w:r>
      <w:r>
        <w:t>trains all IT staff and End Users by circulating user manuals, necessary documentation and conducting relevant trainings.</w:t>
      </w:r>
    </w:p>
    <w:p w:rsidR="005B58C9" w:rsidRPr="00487286" w:rsidRDefault="00045BFC" w:rsidP="00EF4E99">
      <w:pPr>
        <w:pStyle w:val="REGA3"/>
      </w:pPr>
      <w:r>
        <w:t xml:space="preserve">The </w:t>
      </w:r>
      <w:r w:rsidR="00EF4E99">
        <w:t xml:space="preserve">IT </w:t>
      </w:r>
      <w:r w:rsidR="00803D5A">
        <w:t xml:space="preserve">Applications </w:t>
      </w:r>
      <w:r w:rsidR="00EF4E99">
        <w:t xml:space="preserve">Specialist </w:t>
      </w:r>
      <w:r>
        <w:t>close</w:t>
      </w:r>
      <w:r w:rsidR="00803D5A">
        <w:t>s</w:t>
      </w:r>
      <w:r>
        <w:t xml:space="preserve"> </w:t>
      </w:r>
      <w:r w:rsidR="00803D5A">
        <w:t xml:space="preserve">the </w:t>
      </w:r>
      <w:r>
        <w:t>release after verifying all activity logs</w:t>
      </w:r>
      <w:r w:rsidR="00EF4E99">
        <w:t>.</w:t>
      </w:r>
      <w:r w:rsidR="005B58C9" w:rsidRPr="00487286">
        <w:br w:type="page"/>
      </w:r>
    </w:p>
    <w:p w:rsidR="001B073F" w:rsidRDefault="00045BFC" w:rsidP="00803D5A">
      <w:pPr>
        <w:pStyle w:val="REGA"/>
      </w:pPr>
      <w:r w:rsidRPr="00045BFC">
        <w:lastRenderedPageBreak/>
        <w:t xml:space="preserve">Release and Development Management </w:t>
      </w:r>
      <w:r w:rsidR="0042163D">
        <w:t>Flowchart</w:t>
      </w:r>
    </w:p>
    <w:p w:rsidR="00045BFC" w:rsidRDefault="00803D5A" w:rsidP="00045BFC">
      <w:pPr>
        <w:pStyle w:val="REGA"/>
        <w:numPr>
          <w:ilvl w:val="0"/>
          <w:numId w:val="0"/>
        </w:numPr>
        <w:ind w:left="1440" w:hanging="1080"/>
      </w:pPr>
      <w:r w:rsidRPr="00803D5A">
        <w:rPr>
          <w:noProof/>
          <w:lang w:val="en-GB" w:eastAsia="en-GB"/>
        </w:rPr>
        <w:drawing>
          <wp:inline distT="0" distB="0" distL="0" distR="0">
            <wp:extent cx="5943600" cy="468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FC" w:rsidRDefault="00045BFC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940E2F" w:rsidP="00A910B6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 xml:space="preserve">Release Deployment </w:t>
            </w:r>
            <w:r w:rsidR="00A910B6">
              <w:rPr>
                <w:rFonts w:ascii="Georgia" w:hAnsi="Georgia" w:cs="Sakkal Majalla"/>
              </w:rPr>
              <w:t>Timeliness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A910B6" w:rsidP="00441629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Ratio of delayed releases to the total number of releases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1709F4" w:rsidRDefault="00196F5C" w:rsidP="00A910B6">
            <w:pPr>
              <w:bidi w:val="0"/>
              <w:rPr>
                <w:rFonts w:ascii="Georgia" w:hAnsi="Georgia" w:cs="Sakkal Majall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</w:rPr>
                          <m:t xml:space="preserve">Total Number of </m:t>
                        </m:r>
                        <m:r>
                          <w:rPr>
                            <w:rFonts w:ascii="Cambria Math" w:hAnsi="Cambria Math" w:cs="Sakkal Majalla"/>
                          </w:rPr>
                          <m:t xml:space="preserve">Delayed </m:t>
                        </m:r>
                        <m:r>
                          <w:rPr>
                            <w:rFonts w:ascii="Cambria Math" w:hAnsi="Cambria Math" w:cs="Sakkal Majalla"/>
                          </w:rPr>
                          <m:t xml:space="preserve">Releases 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</w:rPr>
                          <m:t>Total Number Releases</m:t>
                        </m:r>
                      </m:den>
                    </m:f>
                  </m:e>
                </m:d>
                <m:r>
                  <w:rPr>
                    <w:rFonts w:ascii="Cambria Math" w:hAnsi="Cambria Math" w:cs="Sakkal Majalla"/>
                  </w:rPr>
                  <m:t>x100</m:t>
                </m:r>
              </m:oMath>
            </m:oMathPara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B11C01" w:rsidRDefault="00B11C01" w:rsidP="00B11C01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  <w:bookmarkStart w:id="0" w:name="_GoBack"/>
      <w:bookmarkEnd w:id="0"/>
    </w:p>
    <w:p w:rsidR="00504AF7" w:rsidRPr="00504AF7" w:rsidRDefault="00504AF7" w:rsidP="00504AF7">
      <w:pPr>
        <w:pStyle w:val="REGA"/>
      </w:pPr>
      <w:r w:rsidRPr="00504AF7"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000" w:firstRow="0" w:lastRow="0" w:firstColumn="0" w:lastColumn="0" w:noHBand="0" w:noVBand="0"/>
      </w:tblPr>
      <w:tblGrid>
        <w:gridCol w:w="3510"/>
        <w:gridCol w:w="1350"/>
        <w:gridCol w:w="2070"/>
        <w:gridCol w:w="3145"/>
      </w:tblGrid>
      <w:tr w:rsidR="00504AF7" w:rsidRPr="00812416" w:rsidTr="004307D4">
        <w:trPr>
          <w:tblHeader/>
        </w:trPr>
        <w:tc>
          <w:tcPr>
            <w:tcW w:w="351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CB5F0E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CB5F0E" w:rsidRDefault="00CB5F0E" w:rsidP="00CB5F0E">
            <w:pPr>
              <w:bidi w:val="0"/>
            </w:pPr>
            <w:r>
              <w:t>Organising Relevant Training Workshops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CB5F0E" w:rsidRDefault="00CB5F0E" w:rsidP="00CB5F0E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CB5F0E" w:rsidRDefault="00CB5F0E" w:rsidP="00CB5F0E">
            <w:pPr>
              <w:bidi w:val="0"/>
            </w:pPr>
            <w:r>
              <w:t>Human Capital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CB5F0E" w:rsidRDefault="00CB5F0E" w:rsidP="00CB5F0E">
            <w:pPr>
              <w:bidi w:val="0"/>
            </w:pPr>
            <w:r>
              <w:t>Corporate Resources Deputy Governor</w:t>
            </w:r>
          </w:p>
        </w:tc>
      </w:tr>
    </w:tbl>
    <w:p w:rsidR="00504AF7" w:rsidRDefault="00504AF7" w:rsidP="00504AF7">
      <w:pPr>
        <w:rPr>
          <w:rFonts w:ascii="Georgia" w:hAnsi="Georgia" w:cs="Calibri"/>
          <w:bCs/>
          <w:lang w:val="en-GB"/>
        </w:rPr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803D5A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803D5A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65708A" w:rsidRPr="0065708A" w:rsidRDefault="0065708A" w:rsidP="00803D5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65708A">
        <w:rPr>
          <w:rFonts w:ascii="Georgia" w:hAnsi="Georgia" w:cs="Arial"/>
          <w:sz w:val="24"/>
          <w:szCs w:val="24"/>
          <w:lang w:val="en-GB"/>
        </w:rPr>
        <w:t>.</w:t>
      </w:r>
    </w:p>
    <w:p w:rsidR="007129FD" w:rsidRDefault="0065708A" w:rsidP="00803D5A">
      <w:pPr>
        <w:pStyle w:val="Header"/>
        <w:bidi w:val="0"/>
        <w:spacing w:before="120" w:after="120"/>
        <w:ind w:right="468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p w:rsidR="00B11C01" w:rsidRPr="00B11C01" w:rsidRDefault="00B11C01" w:rsidP="00803D5A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sectPr w:rsidR="00B11C01" w:rsidRPr="00B11C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F5C" w:rsidRDefault="00196F5C" w:rsidP="00213CA8">
      <w:r>
        <w:separator/>
      </w:r>
    </w:p>
  </w:endnote>
  <w:endnote w:type="continuationSeparator" w:id="0">
    <w:p w:rsidR="00196F5C" w:rsidRDefault="00196F5C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CB5F0E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5D6537">
            <w:rPr>
              <w:rFonts w:ascii="Verdana" w:eastAsiaTheme="majorEastAsia" w:hAnsi="Verdana" w:cs="Calibri"/>
              <w:sz w:val="14"/>
              <w:szCs w:val="14"/>
            </w:rPr>
            <w:t>1</w:t>
          </w:r>
          <w:r w:rsidR="00803D5A">
            <w:rPr>
              <w:rFonts w:ascii="Verdana" w:eastAsiaTheme="majorEastAsia" w:hAnsi="Verdana" w:cs="Calibri"/>
              <w:sz w:val="14"/>
              <w:szCs w:val="14"/>
            </w:rPr>
            <w:t>0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A910B6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A910B6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F5C" w:rsidRDefault="00196F5C" w:rsidP="00213CA8">
      <w:r>
        <w:separator/>
      </w:r>
    </w:p>
  </w:footnote>
  <w:footnote w:type="continuationSeparator" w:id="0">
    <w:p w:rsidR="00196F5C" w:rsidRDefault="00196F5C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045BFC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45BFC">
            <w:rPr>
              <w:rFonts w:ascii="Georgia" w:hAnsi="Georgia" w:cs="Sakkal Majalla"/>
              <w:bCs/>
              <w:color w:val="0000FF"/>
              <w:sz w:val="28"/>
              <w:szCs w:val="28"/>
            </w:rPr>
            <w:t>Release and Development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C317F3"/>
    <w:multiLevelType w:val="hybridMultilevel"/>
    <w:tmpl w:val="14A44B7E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8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5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1"/>
  </w:num>
  <w:num w:numId="5">
    <w:abstractNumId w:val="8"/>
  </w:num>
  <w:num w:numId="6">
    <w:abstractNumId w:val="13"/>
  </w:num>
  <w:num w:numId="7">
    <w:abstractNumId w:val="12"/>
  </w:num>
  <w:num w:numId="8">
    <w:abstractNumId w:val="15"/>
  </w:num>
  <w:num w:numId="9">
    <w:abstractNumId w:val="3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7"/>
  </w:num>
  <w:num w:numId="13">
    <w:abstractNumId w:val="8"/>
    <w:lvlOverride w:ilvl="0">
      <w:startOverride w:val="1"/>
    </w:lvlOverride>
  </w:num>
  <w:num w:numId="14">
    <w:abstractNumId w:val="6"/>
  </w:num>
  <w:num w:numId="15">
    <w:abstractNumId w:val="15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45BFC"/>
    <w:rsid w:val="00052E98"/>
    <w:rsid w:val="0007035C"/>
    <w:rsid w:val="0007097B"/>
    <w:rsid w:val="00074CE7"/>
    <w:rsid w:val="00075013"/>
    <w:rsid w:val="0008256C"/>
    <w:rsid w:val="00083DE7"/>
    <w:rsid w:val="00094B34"/>
    <w:rsid w:val="00097CE0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3F77"/>
    <w:rsid w:val="0010790F"/>
    <w:rsid w:val="00110496"/>
    <w:rsid w:val="0011683D"/>
    <w:rsid w:val="00125847"/>
    <w:rsid w:val="00127A2A"/>
    <w:rsid w:val="00132131"/>
    <w:rsid w:val="001537D6"/>
    <w:rsid w:val="001709F4"/>
    <w:rsid w:val="00196AA8"/>
    <w:rsid w:val="00196F5C"/>
    <w:rsid w:val="001B073F"/>
    <w:rsid w:val="001D5FB8"/>
    <w:rsid w:val="001E536A"/>
    <w:rsid w:val="001F2045"/>
    <w:rsid w:val="001F3A6A"/>
    <w:rsid w:val="00212BC6"/>
    <w:rsid w:val="002134C0"/>
    <w:rsid w:val="00213CA8"/>
    <w:rsid w:val="00216B3D"/>
    <w:rsid w:val="00230152"/>
    <w:rsid w:val="00234CF8"/>
    <w:rsid w:val="002362DA"/>
    <w:rsid w:val="002510B4"/>
    <w:rsid w:val="002522DF"/>
    <w:rsid w:val="00262526"/>
    <w:rsid w:val="00262ED2"/>
    <w:rsid w:val="00282547"/>
    <w:rsid w:val="002842D8"/>
    <w:rsid w:val="002B0AB0"/>
    <w:rsid w:val="002C54CA"/>
    <w:rsid w:val="002E03ED"/>
    <w:rsid w:val="00302311"/>
    <w:rsid w:val="0031363C"/>
    <w:rsid w:val="00331656"/>
    <w:rsid w:val="00336DEC"/>
    <w:rsid w:val="00340B3D"/>
    <w:rsid w:val="003615F9"/>
    <w:rsid w:val="00362A74"/>
    <w:rsid w:val="00362B26"/>
    <w:rsid w:val="0037751A"/>
    <w:rsid w:val="00397529"/>
    <w:rsid w:val="003A6C6A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41603"/>
    <w:rsid w:val="00441629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3A87"/>
    <w:rsid w:val="004D11AC"/>
    <w:rsid w:val="004D1E6E"/>
    <w:rsid w:val="004F722A"/>
    <w:rsid w:val="00504AF7"/>
    <w:rsid w:val="005125F8"/>
    <w:rsid w:val="00513A22"/>
    <w:rsid w:val="00515DCF"/>
    <w:rsid w:val="00522C65"/>
    <w:rsid w:val="0053002F"/>
    <w:rsid w:val="00533E8B"/>
    <w:rsid w:val="00535E7F"/>
    <w:rsid w:val="005710DC"/>
    <w:rsid w:val="00571E91"/>
    <w:rsid w:val="00575C20"/>
    <w:rsid w:val="005877FC"/>
    <w:rsid w:val="00587FBD"/>
    <w:rsid w:val="00592A67"/>
    <w:rsid w:val="005B4A21"/>
    <w:rsid w:val="005B58C9"/>
    <w:rsid w:val="005D6537"/>
    <w:rsid w:val="00605106"/>
    <w:rsid w:val="0063236E"/>
    <w:rsid w:val="00646C01"/>
    <w:rsid w:val="00652668"/>
    <w:rsid w:val="00654298"/>
    <w:rsid w:val="006544F5"/>
    <w:rsid w:val="0065708A"/>
    <w:rsid w:val="006740D1"/>
    <w:rsid w:val="00675A13"/>
    <w:rsid w:val="00686956"/>
    <w:rsid w:val="00686D95"/>
    <w:rsid w:val="006901E1"/>
    <w:rsid w:val="006948BC"/>
    <w:rsid w:val="006978DC"/>
    <w:rsid w:val="006A047D"/>
    <w:rsid w:val="006A2F0A"/>
    <w:rsid w:val="006B44D8"/>
    <w:rsid w:val="006B5B89"/>
    <w:rsid w:val="006E1E91"/>
    <w:rsid w:val="006F3871"/>
    <w:rsid w:val="00705B5B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B3446"/>
    <w:rsid w:val="007B520C"/>
    <w:rsid w:val="007C6D21"/>
    <w:rsid w:val="007F2E15"/>
    <w:rsid w:val="007F3C30"/>
    <w:rsid w:val="00803D5A"/>
    <w:rsid w:val="00807DA7"/>
    <w:rsid w:val="008316F0"/>
    <w:rsid w:val="008413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697C"/>
    <w:rsid w:val="008F772B"/>
    <w:rsid w:val="00904698"/>
    <w:rsid w:val="0092649E"/>
    <w:rsid w:val="00932492"/>
    <w:rsid w:val="00940E2F"/>
    <w:rsid w:val="0094764C"/>
    <w:rsid w:val="00952ED0"/>
    <w:rsid w:val="0097096C"/>
    <w:rsid w:val="0097119E"/>
    <w:rsid w:val="00977024"/>
    <w:rsid w:val="00983383"/>
    <w:rsid w:val="00984AEE"/>
    <w:rsid w:val="009A5AE1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37F39"/>
    <w:rsid w:val="00A515AD"/>
    <w:rsid w:val="00A516FB"/>
    <w:rsid w:val="00A65F06"/>
    <w:rsid w:val="00A82B6D"/>
    <w:rsid w:val="00A867D2"/>
    <w:rsid w:val="00A86D6F"/>
    <w:rsid w:val="00A910B6"/>
    <w:rsid w:val="00AA1F7E"/>
    <w:rsid w:val="00AA2607"/>
    <w:rsid w:val="00AA6DAD"/>
    <w:rsid w:val="00AD4D70"/>
    <w:rsid w:val="00AE2A3C"/>
    <w:rsid w:val="00AE38FF"/>
    <w:rsid w:val="00AE512A"/>
    <w:rsid w:val="00AE5FC7"/>
    <w:rsid w:val="00AF4152"/>
    <w:rsid w:val="00AF7412"/>
    <w:rsid w:val="00B01927"/>
    <w:rsid w:val="00B11C01"/>
    <w:rsid w:val="00B306C7"/>
    <w:rsid w:val="00B32BF5"/>
    <w:rsid w:val="00B40BC0"/>
    <w:rsid w:val="00B42E1C"/>
    <w:rsid w:val="00B53D35"/>
    <w:rsid w:val="00B56261"/>
    <w:rsid w:val="00B56D96"/>
    <w:rsid w:val="00B6624F"/>
    <w:rsid w:val="00B81C7A"/>
    <w:rsid w:val="00B93DF4"/>
    <w:rsid w:val="00BA1A8F"/>
    <w:rsid w:val="00BB2A33"/>
    <w:rsid w:val="00BB313A"/>
    <w:rsid w:val="00BE0D4B"/>
    <w:rsid w:val="00BF5312"/>
    <w:rsid w:val="00C33229"/>
    <w:rsid w:val="00C457E1"/>
    <w:rsid w:val="00C666B0"/>
    <w:rsid w:val="00CB1C9B"/>
    <w:rsid w:val="00CB4D5E"/>
    <w:rsid w:val="00CB5F0E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01D4"/>
    <w:rsid w:val="00DF15D2"/>
    <w:rsid w:val="00DF6103"/>
    <w:rsid w:val="00E07F33"/>
    <w:rsid w:val="00E14DCF"/>
    <w:rsid w:val="00E336CB"/>
    <w:rsid w:val="00E42577"/>
    <w:rsid w:val="00E4257C"/>
    <w:rsid w:val="00E44783"/>
    <w:rsid w:val="00E61668"/>
    <w:rsid w:val="00E75B43"/>
    <w:rsid w:val="00E85A3B"/>
    <w:rsid w:val="00EA1A01"/>
    <w:rsid w:val="00EA2E78"/>
    <w:rsid w:val="00EC2175"/>
    <w:rsid w:val="00EE100F"/>
    <w:rsid w:val="00EF4E99"/>
    <w:rsid w:val="00F154EC"/>
    <w:rsid w:val="00F247BB"/>
    <w:rsid w:val="00F45700"/>
    <w:rsid w:val="00F57A0C"/>
    <w:rsid w:val="00F73B2A"/>
    <w:rsid w:val="00F87444"/>
    <w:rsid w:val="00F9305A"/>
    <w:rsid w:val="00F951D3"/>
    <w:rsid w:val="00FA031E"/>
    <w:rsid w:val="00FA7BAC"/>
    <w:rsid w:val="00FC3D1B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AB27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3D149-AEDD-4721-A174-BD795B84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9</cp:revision>
  <dcterms:created xsi:type="dcterms:W3CDTF">2019-11-13T09:48:00Z</dcterms:created>
  <dcterms:modified xsi:type="dcterms:W3CDTF">2019-11-26T11:34:00Z</dcterms:modified>
</cp:coreProperties>
</file>