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FE2" w:rsidRPr="00487286" w:rsidRDefault="00A36FE2" w:rsidP="005125F8">
      <w:pPr>
        <w:bidi w:val="0"/>
        <w:rPr>
          <w:rFonts w:ascii="Georgia" w:hAnsi="Georgia"/>
        </w:rPr>
      </w:pPr>
    </w:p>
    <w:p w:rsidR="00213CA8" w:rsidRPr="00487286" w:rsidRDefault="00213CA8" w:rsidP="005125F8">
      <w:pPr>
        <w:bidi w:val="0"/>
        <w:rPr>
          <w:rFonts w:ascii="Georgia" w:hAnsi="Georgia"/>
        </w:rPr>
      </w:pPr>
    </w:p>
    <w:p w:rsidR="00213CA8" w:rsidRPr="00487286" w:rsidRDefault="00213CA8" w:rsidP="005125F8">
      <w:pPr>
        <w:bidi w:val="0"/>
        <w:rPr>
          <w:rFonts w:ascii="Georgia" w:hAnsi="Georgia"/>
        </w:rPr>
      </w:pPr>
    </w:p>
    <w:p w:rsidR="00213CA8" w:rsidRPr="00487286" w:rsidRDefault="00213CA8" w:rsidP="005125F8">
      <w:pPr>
        <w:bidi w:val="0"/>
        <w:rPr>
          <w:rFonts w:ascii="Georgia" w:hAnsi="Georgia"/>
        </w:rPr>
      </w:pPr>
    </w:p>
    <w:p w:rsidR="00213CA8" w:rsidRPr="00487286" w:rsidRDefault="00213CA8" w:rsidP="005125F8">
      <w:pPr>
        <w:bidi w:val="0"/>
        <w:rPr>
          <w:rFonts w:ascii="Georgia" w:hAnsi="Georgia"/>
        </w:rPr>
      </w:pPr>
    </w:p>
    <w:p w:rsidR="00213CA8" w:rsidRPr="00487286" w:rsidRDefault="00213CA8" w:rsidP="005125F8">
      <w:pPr>
        <w:bidi w:val="0"/>
        <w:rPr>
          <w:rFonts w:ascii="Georgia" w:hAnsi="Georgia"/>
        </w:rPr>
      </w:pPr>
    </w:p>
    <w:p w:rsidR="00213CA8" w:rsidRPr="00487286" w:rsidRDefault="00213CA8" w:rsidP="005125F8">
      <w:pPr>
        <w:bidi w:val="0"/>
        <w:rPr>
          <w:rFonts w:ascii="Georgia" w:hAnsi="Georgia"/>
        </w:rPr>
      </w:pPr>
    </w:p>
    <w:p w:rsidR="00213CA8" w:rsidRPr="00487286" w:rsidRDefault="00213CA8" w:rsidP="005125F8">
      <w:pPr>
        <w:bidi w:val="0"/>
        <w:rPr>
          <w:rFonts w:ascii="Georgia" w:hAnsi="Georgia"/>
        </w:rPr>
      </w:pPr>
    </w:p>
    <w:p w:rsidR="00213CA8" w:rsidRPr="00487286" w:rsidRDefault="00213CA8" w:rsidP="005125F8">
      <w:pPr>
        <w:bidi w:val="0"/>
        <w:rPr>
          <w:rFonts w:ascii="Georgia" w:hAnsi="Georgia"/>
        </w:rPr>
      </w:pPr>
    </w:p>
    <w:p w:rsidR="00213CA8" w:rsidRPr="00487286" w:rsidRDefault="00213CA8" w:rsidP="005125F8">
      <w:pPr>
        <w:bidi w:val="0"/>
        <w:rPr>
          <w:rFonts w:ascii="Georgia" w:hAnsi="Georgia"/>
        </w:rPr>
      </w:pPr>
    </w:p>
    <w:p w:rsidR="00213CA8" w:rsidRPr="00487286" w:rsidRDefault="00213CA8" w:rsidP="005125F8">
      <w:pPr>
        <w:bidi w:val="0"/>
        <w:rPr>
          <w:rFonts w:ascii="Georgia" w:hAnsi="Georgia"/>
        </w:rPr>
      </w:pPr>
    </w:p>
    <w:p w:rsidR="00213CA8" w:rsidRPr="00487286" w:rsidRDefault="00213CA8" w:rsidP="005125F8">
      <w:pPr>
        <w:bidi w:val="0"/>
        <w:rPr>
          <w:rFonts w:ascii="Georgia" w:hAnsi="Georgia"/>
        </w:rPr>
      </w:pPr>
    </w:p>
    <w:p w:rsidR="00213CA8" w:rsidRPr="00487286" w:rsidRDefault="00213CA8" w:rsidP="005125F8">
      <w:pPr>
        <w:bidi w:val="0"/>
        <w:rPr>
          <w:rFonts w:ascii="Georgia" w:hAnsi="Georgia"/>
        </w:rPr>
      </w:pPr>
    </w:p>
    <w:p w:rsidR="00213CA8" w:rsidRPr="00487286" w:rsidRDefault="00213CA8" w:rsidP="005125F8">
      <w:pPr>
        <w:bidi w:val="0"/>
        <w:rPr>
          <w:rFonts w:ascii="Georgia" w:hAnsi="Georgia"/>
        </w:rPr>
      </w:pPr>
    </w:p>
    <w:p w:rsidR="00213CA8" w:rsidRPr="00FE64C5" w:rsidRDefault="000A3885" w:rsidP="00CF601C">
      <w:pPr>
        <w:pStyle w:val="Header"/>
        <w:bidi w:val="0"/>
        <w:ind w:left="468" w:right="468"/>
        <w:jc w:val="center"/>
        <w:rPr>
          <w:rFonts w:ascii="Georgia" w:hAnsi="Georgia" w:cs="Sakkal Majalla"/>
          <w:bCs/>
          <w:color w:val="000000"/>
          <w:sz w:val="52"/>
          <w:szCs w:val="52"/>
        </w:rPr>
      </w:pPr>
      <w:r w:rsidRPr="000A3885">
        <w:rPr>
          <w:rFonts w:ascii="Georgia" w:hAnsi="Georgia" w:cs="Sakkal Majalla"/>
          <w:bCs/>
          <w:color w:val="000000"/>
          <w:sz w:val="52"/>
          <w:szCs w:val="52"/>
        </w:rPr>
        <w:t xml:space="preserve">Define Service Level Agreements </w:t>
      </w:r>
      <w:r w:rsidR="00282547">
        <w:rPr>
          <w:rFonts w:ascii="Georgia" w:hAnsi="Georgia" w:cs="Sakkal Majalla"/>
          <w:bCs/>
          <w:color w:val="000000"/>
          <w:sz w:val="52"/>
          <w:szCs w:val="52"/>
        </w:rPr>
        <w:t>Procedure</w:t>
      </w:r>
    </w:p>
    <w:p w:rsidR="00213CA8" w:rsidRPr="00487286" w:rsidRDefault="00213CA8" w:rsidP="005125F8">
      <w:pPr>
        <w:pStyle w:val="Header"/>
        <w:bidi w:val="0"/>
        <w:ind w:left="468" w:right="468"/>
        <w:jc w:val="center"/>
        <w:rPr>
          <w:rFonts w:ascii="Georgia" w:hAnsi="Georgia" w:cs="Sakkal Majalla"/>
          <w:bCs/>
          <w:color w:val="000000"/>
          <w:sz w:val="72"/>
          <w:szCs w:val="72"/>
        </w:rPr>
      </w:pPr>
    </w:p>
    <w:p w:rsidR="00213CA8" w:rsidRPr="00487286" w:rsidRDefault="00213CA8" w:rsidP="005125F8">
      <w:pPr>
        <w:pStyle w:val="Header"/>
        <w:bidi w:val="0"/>
        <w:ind w:left="468" w:right="468"/>
        <w:jc w:val="center"/>
        <w:rPr>
          <w:rFonts w:ascii="Georgia" w:hAnsi="Georgia" w:cs="Sakkal Majalla"/>
          <w:bCs/>
          <w:color w:val="000000"/>
          <w:sz w:val="72"/>
          <w:szCs w:val="72"/>
        </w:rPr>
      </w:pPr>
    </w:p>
    <w:p w:rsidR="00094B34" w:rsidRPr="00487286" w:rsidRDefault="00094B34" w:rsidP="005125F8">
      <w:pPr>
        <w:bidi w:val="0"/>
        <w:spacing w:after="160" w:line="259" w:lineRule="auto"/>
        <w:rPr>
          <w:rFonts w:ascii="Georgia" w:hAnsi="Georgia" w:cs="Sakkal Majalla"/>
          <w:bCs/>
          <w:color w:val="000000"/>
          <w:sz w:val="72"/>
          <w:szCs w:val="72"/>
          <w:rtl/>
        </w:rPr>
      </w:pPr>
      <w:r w:rsidRPr="00487286">
        <w:rPr>
          <w:rFonts w:ascii="Georgia" w:hAnsi="Georgia" w:cs="Sakkal Majalla"/>
          <w:bCs/>
          <w:color w:val="000000"/>
          <w:sz w:val="72"/>
          <w:szCs w:val="72"/>
          <w:rtl/>
        </w:rPr>
        <w:br w:type="page"/>
      </w:r>
    </w:p>
    <w:p w:rsidR="00B32BF5" w:rsidRPr="00487286" w:rsidRDefault="00B32BF5" w:rsidP="00B32BF5">
      <w:pPr>
        <w:pStyle w:val="Header"/>
        <w:numPr>
          <w:ilvl w:val="0"/>
          <w:numId w:val="3"/>
        </w:numPr>
        <w:bidi w:val="0"/>
        <w:spacing w:line="360" w:lineRule="auto"/>
        <w:ind w:left="1440" w:right="468" w:hanging="1080"/>
        <w:rPr>
          <w:rFonts w:ascii="Georgia" w:hAnsi="Georgia" w:cs="Sakkal Majalla"/>
          <w:b/>
          <w:color w:val="000000"/>
          <w:sz w:val="30"/>
          <w:szCs w:val="30"/>
        </w:rPr>
      </w:pPr>
      <w:r w:rsidRPr="00487286">
        <w:rPr>
          <w:rFonts w:ascii="Georgia" w:hAnsi="Georgia" w:cs="Sakkal Majalla"/>
          <w:b/>
          <w:color w:val="000000"/>
          <w:sz w:val="30"/>
          <w:szCs w:val="30"/>
        </w:rPr>
        <w:lastRenderedPageBreak/>
        <w:t>Purpose</w:t>
      </w:r>
    </w:p>
    <w:p w:rsidR="00B32BF5" w:rsidRDefault="00B32BF5" w:rsidP="000A3885">
      <w:pPr>
        <w:pStyle w:val="REGA2"/>
        <w:jc w:val="left"/>
      </w:pPr>
      <w:r w:rsidRPr="00282547">
        <w:t xml:space="preserve">The </w:t>
      </w:r>
      <w:r>
        <w:t>objective</w:t>
      </w:r>
      <w:r w:rsidRPr="00282547">
        <w:t xml:space="preserve"> of this process </w:t>
      </w:r>
      <w:r>
        <w:t xml:space="preserve">is </w:t>
      </w:r>
      <w:r w:rsidR="00E44783">
        <w:t xml:space="preserve">to </w:t>
      </w:r>
      <w:r w:rsidR="000A3885">
        <w:t>ensure that service delivery is reliable, responsive, effective and efficient and supports the Authority’s requirements to an acceptable level within the constraints of the resources available to agree to a level of service that users can expect consistently</w:t>
      </w:r>
      <w:r w:rsidR="00045BFC">
        <w:t>.</w:t>
      </w:r>
    </w:p>
    <w:p w:rsidR="00B32BF5" w:rsidRPr="00487286" w:rsidRDefault="00B32BF5" w:rsidP="00B32BF5">
      <w:pPr>
        <w:pStyle w:val="Header"/>
        <w:numPr>
          <w:ilvl w:val="0"/>
          <w:numId w:val="3"/>
        </w:numPr>
        <w:bidi w:val="0"/>
        <w:spacing w:line="360" w:lineRule="auto"/>
        <w:ind w:left="1440" w:right="468" w:hanging="1080"/>
        <w:rPr>
          <w:rFonts w:ascii="Georgia" w:hAnsi="Georgia" w:cs="Sakkal Majalla"/>
          <w:b/>
          <w:color w:val="000000"/>
          <w:sz w:val="30"/>
          <w:szCs w:val="30"/>
        </w:rPr>
      </w:pPr>
      <w:r w:rsidRPr="00487286">
        <w:rPr>
          <w:rFonts w:ascii="Georgia" w:hAnsi="Georgia" w:cs="Sakkal Majalla"/>
          <w:b/>
          <w:color w:val="000000"/>
          <w:sz w:val="30"/>
          <w:szCs w:val="30"/>
        </w:rPr>
        <w:t>Scope</w:t>
      </w:r>
    </w:p>
    <w:p w:rsidR="002134C0" w:rsidRPr="00E42577" w:rsidRDefault="00B32BF5" w:rsidP="000A3885">
      <w:pPr>
        <w:pStyle w:val="REGA2"/>
      </w:pPr>
      <w:r>
        <w:t xml:space="preserve">The procedure starts </w:t>
      </w:r>
      <w:r w:rsidR="002134C0">
        <w:t xml:space="preserve">with </w:t>
      </w:r>
      <w:r w:rsidR="000A3885">
        <w:t>the organisation requirements identified and ends with developed and agreed upon service level agreements.</w:t>
      </w:r>
    </w:p>
    <w:p w:rsidR="005B58C9" w:rsidRPr="00487286" w:rsidRDefault="005B58C9" w:rsidP="005125F8">
      <w:pPr>
        <w:pStyle w:val="Header"/>
        <w:bidi w:val="0"/>
        <w:ind w:right="468"/>
        <w:jc w:val="both"/>
        <w:rPr>
          <w:rFonts w:ascii="Georgia" w:hAnsi="Georgia" w:cs="Sakkal Majalla"/>
          <w:b/>
          <w:color w:val="000000"/>
          <w:sz w:val="26"/>
          <w:szCs w:val="26"/>
        </w:rPr>
      </w:pPr>
      <w:r w:rsidRPr="00487286">
        <w:rPr>
          <w:rFonts w:ascii="Georgia" w:hAnsi="Georgia" w:cs="Sakkal Majalla"/>
          <w:b/>
          <w:color w:val="000000"/>
          <w:sz w:val="26"/>
          <w:szCs w:val="26"/>
        </w:rPr>
        <w:br w:type="page"/>
      </w:r>
    </w:p>
    <w:p w:rsidR="000A3885" w:rsidRDefault="00A24D7C" w:rsidP="00A23858">
      <w:pPr>
        <w:pStyle w:val="REGA"/>
      </w:pPr>
      <w:r w:rsidRPr="00230152">
        <w:lastRenderedPageBreak/>
        <w:t>Narrative</w:t>
      </w:r>
    </w:p>
    <w:p w:rsidR="000A3885" w:rsidRDefault="000A3885" w:rsidP="00CB6460">
      <w:pPr>
        <w:pStyle w:val="REGA3"/>
      </w:pPr>
      <w:r>
        <w:t xml:space="preserve">The relevant Section Manager identifies key processes and stakeholders to develop the requisite Service Level Agreements (SLA). The </w:t>
      </w:r>
      <w:r w:rsidR="00CB6460">
        <w:t xml:space="preserve">relevant Section Manager </w:t>
      </w:r>
      <w:r>
        <w:t>also understands the necessary Service level requirements to support business processes.</w:t>
      </w:r>
    </w:p>
    <w:p w:rsidR="000A3885" w:rsidRDefault="000A3885" w:rsidP="00CB6460">
      <w:pPr>
        <w:pStyle w:val="REGA3"/>
      </w:pPr>
      <w:r>
        <w:t xml:space="preserve">The </w:t>
      </w:r>
      <w:r w:rsidR="00CB6460">
        <w:t xml:space="preserve">relevant Section Manager </w:t>
      </w:r>
      <w:r>
        <w:t>creates and updates (as applicable) the Service Level Agreements.</w:t>
      </w:r>
    </w:p>
    <w:p w:rsidR="000A3885" w:rsidRDefault="000A3885" w:rsidP="00CB6460">
      <w:pPr>
        <w:pStyle w:val="REGA3"/>
      </w:pPr>
      <w:r>
        <w:t xml:space="preserve">The </w:t>
      </w:r>
      <w:r w:rsidR="00CB6460">
        <w:t xml:space="preserve">IT General Manager </w:t>
      </w:r>
      <w:r>
        <w:t>reviews all the Service Levels</w:t>
      </w:r>
      <w:r w:rsidR="00CB6460">
        <w:t xml:space="preserve"> to provide his approval</w:t>
      </w:r>
      <w:r>
        <w:t>.</w:t>
      </w:r>
    </w:p>
    <w:p w:rsidR="000A3885" w:rsidRDefault="0013074D" w:rsidP="001F0294">
      <w:pPr>
        <w:pStyle w:val="REGA3"/>
        <w:numPr>
          <w:ilvl w:val="1"/>
          <w:numId w:val="8"/>
        </w:numPr>
        <w:ind w:left="1440"/>
      </w:pPr>
      <w:r w:rsidRPr="0013074D">
        <w:rPr>
          <w:b/>
          <w:bCs w:val="0"/>
        </w:rPr>
        <w:t>Case A – Yes;</w:t>
      </w:r>
      <w:r>
        <w:t xml:space="preserve"> in case the ITGM approves, proceed to step 3.5.</w:t>
      </w:r>
    </w:p>
    <w:p w:rsidR="000A3885" w:rsidRDefault="000A3885" w:rsidP="001F0294">
      <w:pPr>
        <w:pStyle w:val="REGA3"/>
        <w:numPr>
          <w:ilvl w:val="1"/>
          <w:numId w:val="8"/>
        </w:numPr>
        <w:ind w:left="1440"/>
      </w:pPr>
      <w:r w:rsidRPr="0013074D">
        <w:rPr>
          <w:b/>
          <w:bCs w:val="0"/>
        </w:rPr>
        <w:t>Case B</w:t>
      </w:r>
      <w:r w:rsidR="0013074D" w:rsidRPr="0013074D">
        <w:rPr>
          <w:b/>
          <w:bCs w:val="0"/>
        </w:rPr>
        <w:t xml:space="preserve"> – Make Recommendations;</w:t>
      </w:r>
      <w:r>
        <w:t xml:space="preserve"> </w:t>
      </w:r>
      <w:r w:rsidR="0013074D">
        <w:t>in case the ITGM m</w:t>
      </w:r>
      <w:r>
        <w:t>ake</w:t>
      </w:r>
      <w:r w:rsidR="0013074D">
        <w:t>s</w:t>
      </w:r>
      <w:r>
        <w:t xml:space="preserve"> recommendations</w:t>
      </w:r>
      <w:r w:rsidR="0013074D">
        <w:t>, proceed to step 3.4.</w:t>
      </w:r>
    </w:p>
    <w:p w:rsidR="000A3885" w:rsidRDefault="000A3885" w:rsidP="00CB6460">
      <w:pPr>
        <w:pStyle w:val="REGA3"/>
      </w:pPr>
      <w:r>
        <w:t xml:space="preserve">The </w:t>
      </w:r>
      <w:r w:rsidR="00CB6460">
        <w:t xml:space="preserve">relevant Section Manager </w:t>
      </w:r>
      <w:r>
        <w:t xml:space="preserve">provides recommendations to the existing SLAs. This is followed by negotiations with both the stakeholders to reach common ground. The necessary updates is made to the existing SLAs once an agreement is reached between the IT </w:t>
      </w:r>
      <w:r w:rsidR="00CB6460">
        <w:t>Department</w:t>
      </w:r>
      <w:r>
        <w:t xml:space="preserve"> and the stakeholders. Return to step </w:t>
      </w:r>
      <w:r w:rsidR="009C6ABF">
        <w:t>3.</w:t>
      </w:r>
      <w:r>
        <w:t>2.</w:t>
      </w:r>
    </w:p>
    <w:p w:rsidR="000A3885" w:rsidRDefault="000A3885" w:rsidP="00CB6460">
      <w:pPr>
        <w:pStyle w:val="REGA3"/>
      </w:pPr>
      <w:r>
        <w:t xml:space="preserve">The </w:t>
      </w:r>
      <w:r w:rsidR="00CB6460">
        <w:t xml:space="preserve">relevant IT Specialist </w:t>
      </w:r>
      <w:r>
        <w:t>completes the approved Service Level Agreements.</w:t>
      </w:r>
    </w:p>
    <w:p w:rsidR="005B58C9" w:rsidRPr="00487286" w:rsidRDefault="000A3885" w:rsidP="00CB6460">
      <w:pPr>
        <w:pStyle w:val="REGA3"/>
      </w:pPr>
      <w:r>
        <w:t xml:space="preserve">The </w:t>
      </w:r>
      <w:r w:rsidR="00CB6460">
        <w:t>relevant Section Manager</w:t>
      </w:r>
      <w:r w:rsidR="00CB6460" w:rsidRPr="00487286">
        <w:t xml:space="preserve"> </w:t>
      </w:r>
      <w:r w:rsidR="00CB6460">
        <w:t>periodically reviews the current SLAs in place and ensures their alignment with the Annual IT Strategic Plan. The relevant Section Manager</w:t>
      </w:r>
      <w:r w:rsidR="00CB6460" w:rsidRPr="00487286">
        <w:t xml:space="preserve"> </w:t>
      </w:r>
      <w:r w:rsidR="00CB6460" w:rsidRPr="00CB6460">
        <w:t xml:space="preserve">will </w:t>
      </w:r>
      <w:r w:rsidR="00CB6460">
        <w:t>assess</w:t>
      </w:r>
      <w:r w:rsidR="00CB6460" w:rsidRPr="00CB6460">
        <w:t xml:space="preserve"> the service level results and feedback from </w:t>
      </w:r>
      <w:r w:rsidR="00CB6460">
        <w:t>End Users</w:t>
      </w:r>
      <w:r w:rsidR="00CB6460" w:rsidRPr="00CB6460">
        <w:t>, and the service delivery units, with regard to improvement suggestions. This will serve as input for planning and implementing the service level improvements</w:t>
      </w:r>
      <w:r w:rsidR="00CB6460">
        <w:t>.</w:t>
      </w:r>
      <w:r w:rsidR="005B58C9" w:rsidRPr="00487286">
        <w:br w:type="page"/>
      </w:r>
    </w:p>
    <w:p w:rsidR="001B073F" w:rsidRDefault="00CB6460" w:rsidP="00CB6460">
      <w:pPr>
        <w:pStyle w:val="REGA"/>
      </w:pPr>
      <w:r w:rsidRPr="00CB6460">
        <w:lastRenderedPageBreak/>
        <w:t>Define Service Level Agreements</w:t>
      </w:r>
      <w:r>
        <w:t xml:space="preserve"> </w:t>
      </w:r>
      <w:r w:rsidR="0042163D">
        <w:t>Flowchart</w:t>
      </w:r>
    </w:p>
    <w:p w:rsidR="00045BFC" w:rsidRDefault="006F34F9" w:rsidP="00045BFC">
      <w:pPr>
        <w:pStyle w:val="REGA"/>
        <w:numPr>
          <w:ilvl w:val="0"/>
          <w:numId w:val="0"/>
        </w:numPr>
        <w:ind w:left="1440" w:hanging="1080"/>
      </w:pPr>
      <w:r>
        <w:object w:dxaOrig="16640" w:dyaOrig="8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5pt;height:230.25pt" o:ole="">
            <v:imagedata r:id="rId8" o:title=""/>
          </v:shape>
          <o:OLEObject Type="Embed" ProgID="Visio.Drawing.15" ShapeID="_x0000_i1025" DrawAspect="Content" ObjectID="_1636287752" r:id="rId9"/>
        </w:object>
      </w:r>
    </w:p>
    <w:p w:rsidR="00045BFC" w:rsidRDefault="00045BFC">
      <w:pPr>
        <w:bidi w:val="0"/>
        <w:spacing w:after="160" w:line="259" w:lineRule="auto"/>
        <w:rPr>
          <w:rFonts w:ascii="Georgia" w:hAnsi="Georgia" w:cs="Sakkal Majalla"/>
          <w:b/>
          <w:color w:val="000000"/>
          <w:sz w:val="30"/>
          <w:szCs w:val="30"/>
        </w:rPr>
      </w:pPr>
      <w:r>
        <w:br w:type="page"/>
      </w:r>
    </w:p>
    <w:p w:rsidR="00A24D7C" w:rsidRPr="00487286" w:rsidRDefault="00A24D7C" w:rsidP="005125F8">
      <w:pPr>
        <w:pStyle w:val="Header"/>
        <w:numPr>
          <w:ilvl w:val="0"/>
          <w:numId w:val="3"/>
        </w:numPr>
        <w:bidi w:val="0"/>
        <w:ind w:left="1440" w:right="468" w:hanging="1080"/>
        <w:rPr>
          <w:rFonts w:ascii="Georgia" w:hAnsi="Georgia" w:cs="Sakkal Majalla"/>
          <w:b/>
          <w:color w:val="000000"/>
          <w:sz w:val="30"/>
          <w:szCs w:val="30"/>
        </w:rPr>
      </w:pPr>
      <w:r w:rsidRPr="00487286">
        <w:rPr>
          <w:rFonts w:ascii="Georgia" w:hAnsi="Georgia" w:cs="Sakkal Majalla"/>
          <w:b/>
          <w:color w:val="000000"/>
          <w:sz w:val="30"/>
          <w:szCs w:val="30"/>
        </w:rPr>
        <w:lastRenderedPageBreak/>
        <w:t>KPI</w:t>
      </w:r>
      <w:r w:rsidR="003A6C6A" w:rsidRPr="00487286">
        <w:rPr>
          <w:rFonts w:ascii="Georgia" w:hAnsi="Georgia" w:cs="Sakkal Majalla"/>
          <w:b/>
          <w:color w:val="000000"/>
          <w:sz w:val="30"/>
          <w:szCs w:val="30"/>
        </w:rPr>
        <w:t>s</w:t>
      </w:r>
    </w:p>
    <w:p w:rsidR="00094B34" w:rsidRPr="00487286" w:rsidRDefault="00094B34" w:rsidP="005125F8">
      <w:pPr>
        <w:pStyle w:val="Header"/>
        <w:bidi w:val="0"/>
        <w:ind w:left="1488" w:right="468"/>
        <w:rPr>
          <w:rFonts w:ascii="Georgia" w:hAnsi="Georgia" w:cs="Sakkal Majalla"/>
          <w:b/>
          <w:color w:val="000000"/>
          <w:sz w:val="30"/>
          <w:szCs w:val="30"/>
        </w:rPr>
      </w:pPr>
    </w:p>
    <w:tbl>
      <w:tblPr>
        <w:bidiVisual/>
        <w:tblW w:w="10165" w:type="dxa"/>
        <w:tblInd w:w="-730" w:type="dxa"/>
        <w:tblLayout w:type="fixed"/>
        <w:tblCellMar>
          <w:left w:w="0" w:type="dxa"/>
          <w:right w:w="0" w:type="dxa"/>
        </w:tblCellMar>
        <w:tblLook w:val="00A0" w:firstRow="1" w:lastRow="0" w:firstColumn="1" w:lastColumn="0" w:noHBand="0" w:noVBand="0"/>
      </w:tblPr>
      <w:tblGrid>
        <w:gridCol w:w="8280"/>
        <w:gridCol w:w="1885"/>
      </w:tblGrid>
      <w:tr w:rsidR="007861EB" w:rsidRPr="00487286" w:rsidTr="00000A0F">
        <w:trPr>
          <w:trHeight w:val="580"/>
        </w:trPr>
        <w:tc>
          <w:tcPr>
            <w:tcW w:w="10165" w:type="dxa"/>
            <w:gridSpan w:val="2"/>
            <w:tcBorders>
              <w:top w:val="single" w:sz="8" w:space="0" w:color="FFFFFF"/>
              <w:left w:val="single" w:sz="8" w:space="0" w:color="FFFFFF"/>
              <w:bottom w:val="single" w:sz="24" w:space="0" w:color="FFFFFF"/>
              <w:right w:val="single" w:sz="8" w:space="0" w:color="FFFFFF"/>
            </w:tcBorders>
            <w:shd w:val="clear" w:color="auto" w:fill="629DD1"/>
            <w:tcMar>
              <w:top w:w="57" w:type="dxa"/>
              <w:left w:w="108" w:type="dxa"/>
              <w:bottom w:w="57" w:type="dxa"/>
              <w:right w:w="108" w:type="dxa"/>
            </w:tcMar>
            <w:vAlign w:val="center"/>
            <w:hideMark/>
          </w:tcPr>
          <w:p w:rsidR="007861EB" w:rsidRPr="00487286" w:rsidRDefault="00E14DCF" w:rsidP="005125F8">
            <w:pPr>
              <w:tabs>
                <w:tab w:val="center" w:pos="4320"/>
                <w:tab w:val="right" w:pos="8640"/>
              </w:tabs>
              <w:bidi w:val="0"/>
              <w:spacing w:line="360" w:lineRule="auto"/>
              <w:ind w:left="468" w:right="468"/>
              <w:jc w:val="center"/>
              <w:rPr>
                <w:rFonts w:ascii="Georgia" w:hAnsi="Georgia" w:cs="Sakkal Majalla"/>
                <w:b/>
                <w:bCs/>
                <w:color w:val="FFFFFF"/>
              </w:rPr>
            </w:pPr>
            <w:r w:rsidRPr="00487286">
              <w:rPr>
                <w:rFonts w:ascii="Georgia" w:hAnsi="Georgia" w:cs="Sakkal Majalla"/>
                <w:b/>
                <w:bCs/>
                <w:color w:val="FFFFFF"/>
              </w:rPr>
              <w:t>KPI</w:t>
            </w:r>
            <w:r w:rsidR="000D7D62" w:rsidRPr="00487286">
              <w:rPr>
                <w:rFonts w:ascii="Georgia" w:hAnsi="Georgia" w:cs="Sakkal Majalla"/>
                <w:b/>
                <w:bCs/>
                <w:color w:val="FFFFFF"/>
              </w:rPr>
              <w:t xml:space="preserve"> 1</w:t>
            </w:r>
          </w:p>
        </w:tc>
      </w:tr>
      <w:tr w:rsidR="007861EB" w:rsidRPr="00487286" w:rsidTr="00000A0F">
        <w:trPr>
          <w:trHeight w:val="355"/>
        </w:trPr>
        <w:tc>
          <w:tcPr>
            <w:tcW w:w="8280" w:type="dxa"/>
            <w:tcBorders>
              <w:top w:val="single" w:sz="24" w:space="0" w:color="FFFFFF"/>
              <w:left w:val="single" w:sz="8" w:space="0" w:color="FFFFFF"/>
              <w:bottom w:val="single" w:sz="8" w:space="0" w:color="FFFFFF"/>
              <w:right w:val="single" w:sz="8" w:space="0" w:color="FFFFFF"/>
            </w:tcBorders>
            <w:shd w:val="clear" w:color="auto" w:fill="D3DFEE"/>
            <w:tcMar>
              <w:top w:w="57" w:type="dxa"/>
              <w:left w:w="108" w:type="dxa"/>
              <w:bottom w:w="57" w:type="dxa"/>
              <w:right w:w="108" w:type="dxa"/>
            </w:tcMar>
          </w:tcPr>
          <w:p w:rsidR="007861EB" w:rsidRPr="00487286" w:rsidRDefault="009C6ABF" w:rsidP="00441629">
            <w:pPr>
              <w:bidi w:val="0"/>
              <w:rPr>
                <w:rFonts w:ascii="Georgia" w:hAnsi="Georgia" w:cs="Sakkal Majalla"/>
                <w:rtl/>
              </w:rPr>
            </w:pPr>
            <w:r>
              <w:rPr>
                <w:rFonts w:ascii="Georgia" w:hAnsi="Georgia" w:cs="Sakkal Majalla"/>
              </w:rPr>
              <w:t>SLA Timeliness</w:t>
            </w:r>
          </w:p>
        </w:tc>
        <w:tc>
          <w:tcPr>
            <w:tcW w:w="1885" w:type="dxa"/>
            <w:tcBorders>
              <w:top w:val="single" w:sz="24" w:space="0" w:color="FFFFFF"/>
              <w:left w:val="single" w:sz="8" w:space="0" w:color="FFFFFF"/>
              <w:bottom w:val="single" w:sz="8" w:space="0" w:color="FFFFFF"/>
              <w:right w:val="single" w:sz="8" w:space="0" w:color="FFFFFF"/>
            </w:tcBorders>
            <w:shd w:val="clear" w:color="auto" w:fill="D3DFEE"/>
            <w:tcMar>
              <w:top w:w="57" w:type="dxa"/>
              <w:left w:w="108" w:type="dxa"/>
              <w:bottom w:w="57" w:type="dxa"/>
              <w:right w:w="108" w:type="dxa"/>
            </w:tcMar>
          </w:tcPr>
          <w:p w:rsidR="007861EB" w:rsidRPr="00487286" w:rsidRDefault="00E14DCF" w:rsidP="005125F8">
            <w:pPr>
              <w:bidi w:val="0"/>
              <w:rPr>
                <w:rFonts w:ascii="Georgia" w:hAnsi="Georgia" w:cs="Sakkal Majalla"/>
              </w:rPr>
            </w:pPr>
            <w:r w:rsidRPr="00487286">
              <w:rPr>
                <w:rFonts w:ascii="Georgia" w:hAnsi="Georgia" w:cs="Sakkal Majalla"/>
              </w:rPr>
              <w:t>KPI</w:t>
            </w:r>
          </w:p>
        </w:tc>
      </w:tr>
      <w:tr w:rsidR="007861EB" w:rsidRPr="00487286" w:rsidTr="00000A0F">
        <w:trPr>
          <w:trHeight w:val="324"/>
        </w:trPr>
        <w:tc>
          <w:tcPr>
            <w:tcW w:w="8280" w:type="dxa"/>
            <w:tcBorders>
              <w:top w:val="single" w:sz="8" w:space="0" w:color="FFFFFF"/>
              <w:left w:val="single" w:sz="8" w:space="0" w:color="FFFFFF"/>
              <w:bottom w:val="single" w:sz="8" w:space="0" w:color="FFFFFF"/>
              <w:right w:val="single" w:sz="8" w:space="0" w:color="FFFFFF"/>
            </w:tcBorders>
            <w:shd w:val="clear" w:color="auto" w:fill="EAF0F7"/>
            <w:tcMar>
              <w:top w:w="57" w:type="dxa"/>
              <w:left w:w="108" w:type="dxa"/>
              <w:bottom w:w="57" w:type="dxa"/>
              <w:right w:w="108" w:type="dxa"/>
            </w:tcMar>
          </w:tcPr>
          <w:p w:rsidR="0011683D" w:rsidRPr="00487286" w:rsidRDefault="009C6ABF" w:rsidP="00441629">
            <w:pPr>
              <w:bidi w:val="0"/>
              <w:rPr>
                <w:rFonts w:ascii="Georgia" w:hAnsi="Georgia" w:cs="Sakkal Majalla"/>
              </w:rPr>
            </w:pPr>
            <w:r>
              <w:rPr>
                <w:rFonts w:ascii="Georgia" w:hAnsi="Georgia" w:cs="Sakkal Majalla"/>
              </w:rPr>
              <w:t>Ratio of SLA-based delays to the total number of service requests</w:t>
            </w:r>
          </w:p>
        </w:tc>
        <w:tc>
          <w:tcPr>
            <w:tcW w:w="1885" w:type="dxa"/>
            <w:tcBorders>
              <w:top w:val="single" w:sz="8" w:space="0" w:color="FFFFFF"/>
              <w:left w:val="single" w:sz="8" w:space="0" w:color="FFFFFF"/>
              <w:bottom w:val="single" w:sz="8" w:space="0" w:color="FFFFFF"/>
              <w:right w:val="single" w:sz="8" w:space="0" w:color="FFFFFF"/>
            </w:tcBorders>
            <w:shd w:val="clear" w:color="auto" w:fill="EAF0F7"/>
            <w:tcMar>
              <w:top w:w="57" w:type="dxa"/>
              <w:left w:w="108" w:type="dxa"/>
              <w:bottom w:w="57" w:type="dxa"/>
              <w:right w:w="108" w:type="dxa"/>
            </w:tcMar>
          </w:tcPr>
          <w:p w:rsidR="007861EB" w:rsidRPr="00487286" w:rsidRDefault="00E14DCF" w:rsidP="005125F8">
            <w:pPr>
              <w:bidi w:val="0"/>
              <w:rPr>
                <w:rFonts w:ascii="Georgia" w:hAnsi="Georgia" w:cs="Sakkal Majalla"/>
              </w:rPr>
            </w:pPr>
            <w:r w:rsidRPr="00487286">
              <w:rPr>
                <w:rFonts w:ascii="Georgia" w:hAnsi="Georgia" w:cs="Sakkal Majalla"/>
              </w:rPr>
              <w:t>Description</w:t>
            </w:r>
          </w:p>
        </w:tc>
      </w:tr>
      <w:tr w:rsidR="00E14DCF" w:rsidRPr="00487286" w:rsidTr="00000A0F">
        <w:trPr>
          <w:trHeight w:val="324"/>
        </w:trPr>
        <w:tc>
          <w:tcPr>
            <w:tcW w:w="8280" w:type="dxa"/>
            <w:tcBorders>
              <w:top w:val="single" w:sz="8" w:space="0" w:color="FFFFFF"/>
              <w:left w:val="single" w:sz="8" w:space="0" w:color="FFFFFF"/>
              <w:bottom w:val="single" w:sz="8" w:space="0" w:color="FFFFFF"/>
              <w:right w:val="single" w:sz="8" w:space="0" w:color="FFFFFF"/>
            </w:tcBorders>
            <w:shd w:val="clear" w:color="auto" w:fill="EAF0F7"/>
            <w:tcMar>
              <w:top w:w="57" w:type="dxa"/>
              <w:left w:w="108" w:type="dxa"/>
              <w:bottom w:w="57" w:type="dxa"/>
              <w:right w:w="108" w:type="dxa"/>
            </w:tcMar>
          </w:tcPr>
          <w:p w:rsidR="00E14DCF" w:rsidRPr="001709F4" w:rsidRDefault="009C6ABF" w:rsidP="009C6ABF">
            <w:pPr>
              <w:bidi w:val="0"/>
              <w:rPr>
                <w:rFonts w:ascii="Georgia" w:hAnsi="Georgia" w:cs="Sakkal Majalla"/>
                <w:i/>
              </w:rPr>
            </w:pPr>
            <m:oMathPara>
              <m:oMath>
                <m:r>
                  <w:rPr>
                    <w:rFonts w:ascii="Cambria Math" w:hAnsi="Cambria Math" w:cs="Sakkal Majalla"/>
                  </w:rPr>
                  <m:t>(</m:t>
                </m:r>
                <m:f>
                  <m:fPr>
                    <m:ctrlPr>
                      <w:rPr>
                        <w:rFonts w:ascii="Cambria Math" w:hAnsi="Cambria Math" w:cs="Sakkal Majalla"/>
                        <w:i/>
                      </w:rPr>
                    </m:ctrlPr>
                  </m:fPr>
                  <m:num>
                    <m:r>
                      <w:rPr>
                        <w:rFonts w:ascii="Cambria Math" w:hAnsi="Cambria Math" w:cs="Sakkal Majalla"/>
                      </w:rPr>
                      <m:t>Total Number of SLA-Based Delays</m:t>
                    </m:r>
                  </m:num>
                  <m:den>
                    <m:r>
                      <w:rPr>
                        <w:rFonts w:ascii="Cambria Math" w:hAnsi="Cambria Math" w:cs="Sakkal Majalla"/>
                      </w:rPr>
                      <m:t>Total Number of Services</m:t>
                    </m:r>
                  </m:den>
                </m:f>
                <m:r>
                  <w:rPr>
                    <w:rFonts w:ascii="Cambria Math" w:hAnsi="Cambria Math" w:cs="Sakkal Majalla"/>
                  </w:rPr>
                  <m:t>)×100</m:t>
                </m:r>
              </m:oMath>
            </m:oMathPara>
          </w:p>
        </w:tc>
        <w:tc>
          <w:tcPr>
            <w:tcW w:w="1885" w:type="dxa"/>
            <w:tcBorders>
              <w:top w:val="single" w:sz="8" w:space="0" w:color="FFFFFF"/>
              <w:left w:val="single" w:sz="8" w:space="0" w:color="FFFFFF"/>
              <w:bottom w:val="single" w:sz="8" w:space="0" w:color="FFFFFF"/>
              <w:right w:val="single" w:sz="8" w:space="0" w:color="FFFFFF"/>
            </w:tcBorders>
            <w:shd w:val="clear" w:color="auto" w:fill="EAF0F7"/>
            <w:tcMar>
              <w:top w:w="57" w:type="dxa"/>
              <w:left w:w="108" w:type="dxa"/>
              <w:bottom w:w="57" w:type="dxa"/>
              <w:right w:w="108" w:type="dxa"/>
            </w:tcMar>
          </w:tcPr>
          <w:p w:rsidR="00E14DCF" w:rsidRPr="00487286" w:rsidRDefault="00E14DCF" w:rsidP="005125F8">
            <w:pPr>
              <w:bidi w:val="0"/>
              <w:rPr>
                <w:rFonts w:ascii="Georgia" w:hAnsi="Georgia" w:cs="Sakkal Majalla"/>
              </w:rPr>
            </w:pPr>
            <w:r w:rsidRPr="00487286">
              <w:rPr>
                <w:rFonts w:ascii="Georgia" w:hAnsi="Georgia" w:cs="Sakkal Majalla"/>
              </w:rPr>
              <w:t>Measurement</w:t>
            </w:r>
          </w:p>
        </w:tc>
      </w:tr>
    </w:tbl>
    <w:p w:rsidR="00A24D7C" w:rsidRPr="00487286" w:rsidRDefault="00A24D7C" w:rsidP="005125F8">
      <w:pPr>
        <w:pStyle w:val="Header"/>
        <w:bidi w:val="0"/>
        <w:ind w:right="468"/>
        <w:rPr>
          <w:rFonts w:ascii="Georgia" w:hAnsi="Georgia" w:cs="Sakkal Majalla"/>
          <w:b/>
          <w:color w:val="000000"/>
        </w:rPr>
      </w:pPr>
    </w:p>
    <w:p w:rsidR="00B11C01" w:rsidRDefault="00B11C01" w:rsidP="00B11C01">
      <w:pPr>
        <w:pStyle w:val="Header"/>
        <w:bidi w:val="0"/>
        <w:ind w:right="468"/>
        <w:rPr>
          <w:rFonts w:ascii="Georgia" w:hAnsi="Georgia" w:cs="Sakkal Majalla"/>
          <w:b/>
          <w:color w:val="000000"/>
          <w:sz w:val="30"/>
          <w:szCs w:val="30"/>
        </w:rPr>
      </w:pPr>
    </w:p>
    <w:p w:rsidR="00841367" w:rsidRDefault="00841367" w:rsidP="00841367">
      <w:pPr>
        <w:pStyle w:val="Header"/>
        <w:bidi w:val="0"/>
        <w:ind w:right="468"/>
        <w:rPr>
          <w:rFonts w:ascii="Georgia" w:hAnsi="Georgia" w:cs="Sakkal Majalla"/>
          <w:b/>
          <w:color w:val="000000"/>
          <w:sz w:val="30"/>
          <w:szCs w:val="30"/>
        </w:rPr>
      </w:pPr>
    </w:p>
    <w:p w:rsidR="0079213B" w:rsidRPr="00487286" w:rsidRDefault="0079213B" w:rsidP="0079213B">
      <w:pPr>
        <w:pStyle w:val="Header"/>
        <w:bidi w:val="0"/>
        <w:ind w:right="468"/>
        <w:rPr>
          <w:rFonts w:ascii="Georgia" w:hAnsi="Georgia" w:cs="Sakkal Majalla"/>
          <w:b/>
          <w:color w:val="000000"/>
          <w:sz w:val="30"/>
          <w:szCs w:val="30"/>
        </w:rPr>
      </w:pPr>
    </w:p>
    <w:p w:rsidR="005B58C9" w:rsidRPr="00487286" w:rsidRDefault="005B58C9" w:rsidP="005125F8">
      <w:pPr>
        <w:bidi w:val="0"/>
        <w:spacing w:after="160" w:line="259" w:lineRule="auto"/>
        <w:rPr>
          <w:rFonts w:ascii="Georgia" w:hAnsi="Georgia" w:cs="Sakkal Majalla"/>
          <w:b/>
          <w:color w:val="000000"/>
          <w:sz w:val="30"/>
          <w:szCs w:val="30"/>
        </w:rPr>
      </w:pPr>
      <w:r w:rsidRPr="00487286">
        <w:rPr>
          <w:rFonts w:ascii="Georgia" w:hAnsi="Georgia" w:cs="Sakkal Majalla"/>
          <w:b/>
          <w:color w:val="000000"/>
          <w:sz w:val="30"/>
          <w:szCs w:val="30"/>
        </w:rPr>
        <w:br w:type="page"/>
      </w:r>
    </w:p>
    <w:p w:rsidR="00504AF7" w:rsidRPr="00504AF7" w:rsidRDefault="00504AF7" w:rsidP="00504AF7">
      <w:pPr>
        <w:pStyle w:val="REGA"/>
      </w:pPr>
      <w:r w:rsidRPr="00504AF7">
        <w:lastRenderedPageBreak/>
        <w:t>SLAs</w:t>
      </w:r>
    </w:p>
    <w:tbl>
      <w:tblPr>
        <w:tblW w:w="10075" w:type="dxa"/>
        <w:tblBorders>
          <w:top w:val="dashSmallGap" w:sz="4" w:space="0" w:color="FFFFFF" w:themeColor="background1"/>
          <w:left w:val="dashSmallGap" w:sz="4" w:space="0" w:color="FFFFFF" w:themeColor="background1"/>
          <w:bottom w:val="dashSmallGap" w:sz="4" w:space="0" w:color="FFFFFF" w:themeColor="background1"/>
          <w:right w:val="dashSmallGap" w:sz="4" w:space="0" w:color="FFFFFF" w:themeColor="background1"/>
          <w:insideH w:val="dashSmallGap" w:sz="4" w:space="0" w:color="FFFFFF" w:themeColor="background1"/>
          <w:insideV w:val="dashSmallGap" w:sz="4" w:space="0" w:color="FFFFFF" w:themeColor="background1"/>
        </w:tblBorders>
        <w:tblLook w:val="0000" w:firstRow="0" w:lastRow="0" w:firstColumn="0" w:lastColumn="0" w:noHBand="0" w:noVBand="0"/>
      </w:tblPr>
      <w:tblGrid>
        <w:gridCol w:w="3510"/>
        <w:gridCol w:w="1350"/>
        <w:gridCol w:w="2070"/>
        <w:gridCol w:w="3145"/>
      </w:tblGrid>
      <w:tr w:rsidR="00504AF7" w:rsidRPr="00812416" w:rsidTr="004307D4">
        <w:trPr>
          <w:tblHeader/>
        </w:trPr>
        <w:tc>
          <w:tcPr>
            <w:tcW w:w="3510" w:type="dxa"/>
            <w:tcBorders>
              <w:bottom w:val="dashSmallGap" w:sz="18" w:space="0" w:color="FFFFFF" w:themeColor="background1"/>
            </w:tcBorders>
            <w:shd w:val="clear" w:color="auto" w:fill="629DD1"/>
            <w:vAlign w:val="center"/>
          </w:tcPr>
          <w:p w:rsidR="00504AF7" w:rsidRPr="00812416" w:rsidRDefault="00504AF7" w:rsidP="004307D4">
            <w:pPr>
              <w:spacing w:line="259" w:lineRule="auto"/>
              <w:jc w:val="center"/>
              <w:rPr>
                <w:rFonts w:ascii="Georgia" w:eastAsia="Arial" w:hAnsi="Georgia" w:cs="Arial"/>
                <w:b/>
                <w:color w:val="FFFFFF" w:themeColor="background1"/>
              </w:rPr>
            </w:pPr>
            <w:r w:rsidRPr="00812416">
              <w:rPr>
                <w:rFonts w:ascii="Georgia" w:eastAsia="Arial" w:hAnsi="Georgia" w:cs="Arial"/>
                <w:b/>
                <w:color w:val="FFFFFF" w:themeColor="background1"/>
              </w:rPr>
              <w:t>Description of Service</w:t>
            </w:r>
          </w:p>
        </w:tc>
        <w:tc>
          <w:tcPr>
            <w:tcW w:w="1350" w:type="dxa"/>
            <w:tcBorders>
              <w:bottom w:val="dashSmallGap" w:sz="18" w:space="0" w:color="FFFFFF" w:themeColor="background1"/>
            </w:tcBorders>
            <w:shd w:val="clear" w:color="auto" w:fill="629DD1"/>
            <w:vAlign w:val="center"/>
          </w:tcPr>
          <w:p w:rsidR="00504AF7" w:rsidRPr="00812416" w:rsidRDefault="00504AF7" w:rsidP="004307D4">
            <w:pPr>
              <w:spacing w:line="259" w:lineRule="auto"/>
              <w:jc w:val="center"/>
              <w:rPr>
                <w:rFonts w:ascii="Georgia" w:eastAsia="Arial" w:hAnsi="Georgia" w:cs="Arial"/>
                <w:b/>
                <w:color w:val="FFFFFF" w:themeColor="background1"/>
              </w:rPr>
            </w:pPr>
            <w:r w:rsidRPr="00812416">
              <w:rPr>
                <w:rFonts w:ascii="Georgia" w:eastAsia="Arial" w:hAnsi="Georgia" w:cs="Arial"/>
                <w:b/>
                <w:color w:val="FFFFFF" w:themeColor="background1"/>
              </w:rPr>
              <w:t>TAT</w:t>
            </w:r>
          </w:p>
        </w:tc>
        <w:tc>
          <w:tcPr>
            <w:tcW w:w="2070" w:type="dxa"/>
            <w:tcBorders>
              <w:bottom w:val="dashSmallGap" w:sz="18" w:space="0" w:color="FFFFFF" w:themeColor="background1"/>
            </w:tcBorders>
            <w:shd w:val="clear" w:color="auto" w:fill="629DD1"/>
            <w:vAlign w:val="center"/>
          </w:tcPr>
          <w:p w:rsidR="00504AF7" w:rsidRPr="00812416" w:rsidRDefault="00504AF7" w:rsidP="004307D4">
            <w:pPr>
              <w:spacing w:line="259" w:lineRule="auto"/>
              <w:jc w:val="center"/>
              <w:rPr>
                <w:rFonts w:ascii="Georgia" w:eastAsia="Arial" w:hAnsi="Georgia" w:cs="Arial"/>
                <w:b/>
                <w:color w:val="FFFFFF" w:themeColor="background1"/>
              </w:rPr>
            </w:pPr>
            <w:r w:rsidRPr="00812416">
              <w:rPr>
                <w:rFonts w:ascii="Georgia" w:eastAsia="Arial" w:hAnsi="Georgia" w:cs="Arial"/>
                <w:b/>
                <w:color w:val="FFFFFF" w:themeColor="background1"/>
              </w:rPr>
              <w:t>Related Departments</w:t>
            </w:r>
          </w:p>
        </w:tc>
        <w:tc>
          <w:tcPr>
            <w:tcW w:w="3145" w:type="dxa"/>
            <w:tcBorders>
              <w:bottom w:val="dashSmallGap" w:sz="18" w:space="0" w:color="FFFFFF" w:themeColor="background1"/>
            </w:tcBorders>
            <w:shd w:val="clear" w:color="auto" w:fill="629DD1"/>
            <w:vAlign w:val="center"/>
          </w:tcPr>
          <w:p w:rsidR="00504AF7" w:rsidRPr="00812416" w:rsidRDefault="00504AF7" w:rsidP="004307D4">
            <w:pPr>
              <w:spacing w:line="259" w:lineRule="auto"/>
              <w:jc w:val="center"/>
              <w:rPr>
                <w:rFonts w:ascii="Georgia" w:eastAsia="Arial" w:hAnsi="Georgia" w:cs="Arial"/>
                <w:b/>
                <w:color w:val="FFFFFF" w:themeColor="background1"/>
              </w:rPr>
            </w:pPr>
            <w:r w:rsidRPr="00812416">
              <w:rPr>
                <w:rFonts w:ascii="Georgia" w:eastAsia="Arial" w:hAnsi="Georgia" w:cs="Arial"/>
                <w:b/>
                <w:color w:val="FFFFFF" w:themeColor="background1"/>
              </w:rPr>
              <w:t>Escalation Matrix</w:t>
            </w:r>
          </w:p>
        </w:tc>
      </w:tr>
      <w:tr w:rsidR="00CB5F0E" w:rsidRPr="00812416" w:rsidTr="00504AF7">
        <w:trPr>
          <w:trHeight w:val="657"/>
        </w:trPr>
        <w:tc>
          <w:tcPr>
            <w:tcW w:w="3510" w:type="dxa"/>
            <w:tcBorders>
              <w:top w:val="dashSmallGap" w:sz="18" w:space="0" w:color="FFFFFF" w:themeColor="background1"/>
              <w:bottom w:val="dashSmallGap" w:sz="18" w:space="0" w:color="FFFFFF" w:themeColor="background1"/>
            </w:tcBorders>
            <w:shd w:val="clear" w:color="auto" w:fill="D3DFEE"/>
          </w:tcPr>
          <w:p w:rsidR="00CB5F0E" w:rsidRDefault="00CB6460" w:rsidP="00CB5F0E">
            <w:pPr>
              <w:bidi w:val="0"/>
            </w:pPr>
            <w:r>
              <w:t>Provide Input in Development of SLAs</w:t>
            </w:r>
          </w:p>
        </w:tc>
        <w:tc>
          <w:tcPr>
            <w:tcW w:w="1350" w:type="dxa"/>
            <w:tcBorders>
              <w:top w:val="dashSmallGap" w:sz="18" w:space="0" w:color="FFFFFF" w:themeColor="background1"/>
              <w:bottom w:val="dashSmallGap" w:sz="18" w:space="0" w:color="FFFFFF" w:themeColor="background1"/>
            </w:tcBorders>
            <w:shd w:val="clear" w:color="auto" w:fill="D3DFEE"/>
          </w:tcPr>
          <w:p w:rsidR="00CB5F0E" w:rsidRDefault="00CB5F0E" w:rsidP="00CB5F0E">
            <w:pPr>
              <w:bidi w:val="0"/>
            </w:pPr>
          </w:p>
        </w:tc>
        <w:tc>
          <w:tcPr>
            <w:tcW w:w="2070" w:type="dxa"/>
            <w:tcBorders>
              <w:top w:val="dashSmallGap" w:sz="18" w:space="0" w:color="FFFFFF" w:themeColor="background1"/>
              <w:bottom w:val="dashSmallGap" w:sz="18" w:space="0" w:color="FFFFFF" w:themeColor="background1"/>
            </w:tcBorders>
            <w:shd w:val="clear" w:color="auto" w:fill="D3DFEE"/>
          </w:tcPr>
          <w:p w:rsidR="00CB5F0E" w:rsidRDefault="00CB6460" w:rsidP="00CB5F0E">
            <w:pPr>
              <w:bidi w:val="0"/>
            </w:pPr>
            <w:r>
              <w:t>Relevant Department</w:t>
            </w:r>
          </w:p>
        </w:tc>
        <w:tc>
          <w:tcPr>
            <w:tcW w:w="3145" w:type="dxa"/>
            <w:tcBorders>
              <w:top w:val="dashSmallGap" w:sz="18" w:space="0" w:color="FFFFFF" w:themeColor="background1"/>
              <w:bottom w:val="dashSmallGap" w:sz="18" w:space="0" w:color="FFFFFF" w:themeColor="background1"/>
            </w:tcBorders>
            <w:shd w:val="clear" w:color="auto" w:fill="D3DFEE"/>
          </w:tcPr>
          <w:p w:rsidR="00CB5F0E" w:rsidRDefault="00CB6460" w:rsidP="00CB6460">
            <w:pPr>
              <w:bidi w:val="0"/>
            </w:pPr>
            <w:r>
              <w:t xml:space="preserve">Relevant </w:t>
            </w:r>
            <w:r w:rsidR="00CB5F0E">
              <w:t>Deputy Governor</w:t>
            </w:r>
          </w:p>
        </w:tc>
      </w:tr>
    </w:tbl>
    <w:p w:rsidR="00504AF7" w:rsidRDefault="00504AF7" w:rsidP="00504AF7">
      <w:pPr>
        <w:rPr>
          <w:rFonts w:ascii="Georgia" w:hAnsi="Georgia" w:cs="Calibri"/>
          <w:bCs/>
          <w:lang w:val="en-GB"/>
        </w:rPr>
      </w:pPr>
      <w:r>
        <w:br w:type="page"/>
      </w:r>
    </w:p>
    <w:p w:rsidR="00A24D7C" w:rsidRPr="00487286" w:rsidRDefault="00A24D7C" w:rsidP="005125F8">
      <w:pPr>
        <w:pStyle w:val="Header"/>
        <w:numPr>
          <w:ilvl w:val="0"/>
          <w:numId w:val="3"/>
        </w:numPr>
        <w:bidi w:val="0"/>
        <w:spacing w:line="360" w:lineRule="auto"/>
        <w:ind w:right="468"/>
        <w:rPr>
          <w:rFonts w:ascii="Georgia" w:hAnsi="Georgia" w:cs="Sakkal Majalla"/>
          <w:b/>
          <w:color w:val="000000"/>
          <w:sz w:val="30"/>
          <w:szCs w:val="30"/>
        </w:rPr>
      </w:pPr>
      <w:r w:rsidRPr="00487286">
        <w:rPr>
          <w:rFonts w:ascii="Georgia" w:hAnsi="Georgia" w:cs="Sakkal Majalla"/>
          <w:b/>
          <w:color w:val="000000"/>
          <w:sz w:val="30"/>
          <w:szCs w:val="30"/>
        </w:rPr>
        <w:lastRenderedPageBreak/>
        <w:t>Definitions</w:t>
      </w:r>
    </w:p>
    <w:p w:rsidR="0065708A" w:rsidRDefault="0065708A" w:rsidP="006F34F9">
      <w:pPr>
        <w:pStyle w:val="OrpicDefinitionsFontterm"/>
        <w:spacing w:line="240" w:lineRule="auto"/>
        <w:ind w:left="0" w:firstLine="0"/>
        <w:jc w:val="both"/>
        <w:rPr>
          <w:rFonts w:ascii="Georgia" w:hAnsi="Georgia" w:cs="Arial"/>
          <w:sz w:val="24"/>
          <w:szCs w:val="24"/>
          <w:lang w:val="en-GB"/>
        </w:rPr>
      </w:pPr>
      <w:r w:rsidRPr="0065708A">
        <w:rPr>
          <w:rFonts w:ascii="Georgia" w:hAnsi="Georgia" w:cs="Arial"/>
          <w:sz w:val="24"/>
          <w:szCs w:val="24"/>
          <w:lang w:val="en-GB"/>
        </w:rPr>
        <w:t xml:space="preserve">“Access” </w:t>
      </w:r>
      <w:r w:rsidRPr="0065708A">
        <w:rPr>
          <w:rFonts w:ascii="Georgia" w:hAnsi="Georgia" w:cs="Arial"/>
          <w:b w:val="0"/>
          <w:bCs w:val="0"/>
          <w:sz w:val="24"/>
          <w:szCs w:val="24"/>
          <w:lang w:val="en-GB"/>
        </w:rPr>
        <w:t xml:space="preserve">is anyone who has the </w:t>
      </w:r>
      <w:r w:rsidRPr="0065708A">
        <w:rPr>
          <w:rFonts w:ascii="Georgia" w:hAnsi="Georgia" w:cs="Arial"/>
          <w:b w:val="0"/>
          <w:bCs w:val="0"/>
          <w:sz w:val="24"/>
          <w:szCs w:val="24"/>
        </w:rPr>
        <w:t>right, opportunity, means of finding, using or retrieving information.</w:t>
      </w:r>
      <w:r w:rsidRPr="0065708A">
        <w:rPr>
          <w:rFonts w:ascii="Georgia" w:hAnsi="Georgia" w:cs="Arial"/>
          <w:sz w:val="24"/>
          <w:szCs w:val="24"/>
          <w:lang w:val="en-GB"/>
        </w:rPr>
        <w:t xml:space="preserve"> </w:t>
      </w:r>
    </w:p>
    <w:p w:rsidR="0065708A" w:rsidRDefault="0065708A" w:rsidP="006F34F9">
      <w:pPr>
        <w:pStyle w:val="OrpicDefinitionsFontterm"/>
        <w:spacing w:line="240" w:lineRule="auto"/>
        <w:ind w:left="0" w:firstLine="0"/>
        <w:jc w:val="both"/>
        <w:rPr>
          <w:rFonts w:ascii="Georgia" w:hAnsi="Georgia" w:cs="Arial"/>
          <w:b w:val="0"/>
          <w:sz w:val="24"/>
          <w:szCs w:val="24"/>
          <w:lang w:val="en-GB"/>
        </w:rPr>
      </w:pPr>
      <w:r w:rsidRPr="0065708A">
        <w:rPr>
          <w:rFonts w:ascii="Georgia" w:hAnsi="Georgia" w:cs="Arial"/>
          <w:sz w:val="24"/>
          <w:szCs w:val="24"/>
          <w:lang w:val="en-GB"/>
        </w:rPr>
        <w:t xml:space="preserve">‘‘Agreement” </w:t>
      </w:r>
      <w:r w:rsidRPr="0065708A">
        <w:rPr>
          <w:rFonts w:ascii="Georgia" w:hAnsi="Georgia" w:cs="Arial"/>
          <w:b w:val="0"/>
          <w:sz w:val="24"/>
          <w:szCs w:val="24"/>
          <w:lang w:val="en-GB"/>
        </w:rPr>
        <w:t>means an agreement or understanding between the Authority and a third party that obliges one or both parties to enter into obligations, including without prejudice to generality, non-binding undertakings such as memoranda of understanding, amendment or modifications of existing contracts or similar documents.</w:t>
      </w:r>
    </w:p>
    <w:p w:rsidR="00B11C01" w:rsidRDefault="00B11C01" w:rsidP="006F34F9">
      <w:pPr>
        <w:pStyle w:val="REGA2"/>
        <w:spacing w:line="240" w:lineRule="auto"/>
        <w:ind w:left="0"/>
        <w:rPr>
          <w:lang w:val="en-US"/>
        </w:rPr>
      </w:pPr>
      <w:r>
        <w:rPr>
          <w:b/>
          <w:bCs w:val="0"/>
          <w:lang w:val="en-US"/>
        </w:rPr>
        <w:t xml:space="preserve">“The Authority” </w:t>
      </w:r>
      <w:r>
        <w:rPr>
          <w:lang w:val="en-US"/>
        </w:rPr>
        <w:t>means the Real Estate General Authority.</w:t>
      </w:r>
    </w:p>
    <w:p w:rsidR="0065708A" w:rsidRPr="0065708A" w:rsidRDefault="0065708A" w:rsidP="006F34F9">
      <w:pPr>
        <w:pStyle w:val="OrpicDefinitionsFontterm"/>
        <w:spacing w:line="240" w:lineRule="auto"/>
        <w:ind w:left="0" w:firstLine="0"/>
        <w:jc w:val="both"/>
        <w:rPr>
          <w:rFonts w:ascii="Georgia" w:hAnsi="Georgia" w:cs="Arial"/>
          <w:b w:val="0"/>
          <w:sz w:val="24"/>
          <w:szCs w:val="24"/>
          <w:lang w:val="en-GB"/>
        </w:rPr>
      </w:pPr>
      <w:r w:rsidRPr="0065708A">
        <w:rPr>
          <w:rFonts w:ascii="Georgia" w:hAnsi="Georgia" w:cs="Arial"/>
          <w:sz w:val="24"/>
          <w:szCs w:val="24"/>
          <w:lang w:val="en-GB"/>
        </w:rPr>
        <w:t xml:space="preserve">“Asset” </w:t>
      </w:r>
      <w:r w:rsidRPr="0065708A">
        <w:rPr>
          <w:rFonts w:ascii="Georgia" w:hAnsi="Georgia" w:cs="Arial"/>
          <w:b w:val="0"/>
          <w:sz w:val="24"/>
          <w:szCs w:val="24"/>
          <w:lang w:val="en-GB"/>
        </w:rPr>
        <w:t>refers to the Authority-owned information, systems or hardware that is used in its activities.</w:t>
      </w:r>
    </w:p>
    <w:p w:rsidR="0065708A" w:rsidRPr="0065708A" w:rsidRDefault="0065708A" w:rsidP="006F34F9">
      <w:pPr>
        <w:pStyle w:val="OrpicDefinitionsFontterm"/>
        <w:spacing w:line="240" w:lineRule="auto"/>
        <w:ind w:left="0" w:firstLine="0"/>
        <w:jc w:val="both"/>
        <w:rPr>
          <w:rFonts w:ascii="Georgia" w:hAnsi="Georgia" w:cs="Arial"/>
          <w:sz w:val="24"/>
          <w:szCs w:val="24"/>
          <w:lang w:val="en-GB"/>
        </w:rPr>
      </w:pPr>
      <w:r w:rsidRPr="0065708A">
        <w:rPr>
          <w:rFonts w:ascii="Georgia" w:hAnsi="Georgia" w:cs="Arial"/>
          <w:sz w:val="24"/>
          <w:szCs w:val="24"/>
          <w:lang w:val="en-GB"/>
        </w:rPr>
        <w:t xml:space="preserve">“Contract” </w:t>
      </w:r>
      <w:r w:rsidRPr="0065708A">
        <w:rPr>
          <w:rFonts w:ascii="Georgia" w:hAnsi="Georgia" w:cs="Arial"/>
          <w:b w:val="0"/>
          <w:sz w:val="24"/>
          <w:szCs w:val="24"/>
          <w:lang w:val="en-GB"/>
        </w:rPr>
        <w:t>means an agreement or understanding between the</w:t>
      </w:r>
      <w:r w:rsidRPr="0065708A">
        <w:rPr>
          <w:rFonts w:ascii="Georgia" w:hAnsi="Georgia" w:cs="Arial"/>
          <w:b w:val="0"/>
          <w:sz w:val="24"/>
          <w:szCs w:val="24"/>
          <w:lang w:val="en-GB" w:bidi="ar-AE"/>
        </w:rPr>
        <w:t xml:space="preserve"> Authority</w:t>
      </w:r>
      <w:r w:rsidRPr="0065708A">
        <w:rPr>
          <w:rFonts w:ascii="Georgia" w:hAnsi="Georgia" w:cs="Arial"/>
          <w:b w:val="0"/>
          <w:sz w:val="24"/>
          <w:szCs w:val="24"/>
          <w:lang w:val="en-GB"/>
        </w:rPr>
        <w:t xml:space="preserve"> and a third party that obliges one or both parties to enter into l</w:t>
      </w:r>
      <w:bookmarkStart w:id="0" w:name="_GoBack"/>
      <w:bookmarkEnd w:id="0"/>
      <w:r w:rsidRPr="0065708A">
        <w:rPr>
          <w:rFonts w:ascii="Georgia" w:hAnsi="Georgia" w:cs="Arial"/>
          <w:b w:val="0"/>
          <w:sz w:val="24"/>
          <w:szCs w:val="24"/>
          <w:lang w:val="en-GB"/>
        </w:rPr>
        <w:t>egally binding obligations.</w:t>
      </w:r>
      <w:r w:rsidRPr="0065708A">
        <w:rPr>
          <w:rFonts w:ascii="Georgia" w:hAnsi="Georgia" w:cs="Arial"/>
          <w:sz w:val="24"/>
          <w:szCs w:val="24"/>
          <w:lang w:val="en-GB"/>
        </w:rPr>
        <w:t xml:space="preserve"> </w:t>
      </w:r>
    </w:p>
    <w:p w:rsidR="0065708A" w:rsidRPr="0065708A" w:rsidRDefault="0065708A" w:rsidP="006F34F9">
      <w:pPr>
        <w:pStyle w:val="OrpicDefinitionsFontterm"/>
        <w:spacing w:line="240" w:lineRule="auto"/>
        <w:ind w:left="0" w:firstLine="0"/>
        <w:jc w:val="both"/>
        <w:rPr>
          <w:rFonts w:ascii="Georgia" w:hAnsi="Georgia" w:cs="Arial"/>
          <w:b w:val="0"/>
          <w:bCs w:val="0"/>
          <w:sz w:val="24"/>
          <w:szCs w:val="24"/>
          <w:lang w:val="en-GB"/>
        </w:rPr>
      </w:pPr>
      <w:r w:rsidRPr="0065708A">
        <w:rPr>
          <w:rFonts w:ascii="Georgia" w:hAnsi="Georgia" w:cs="Arial"/>
          <w:bCs w:val="0"/>
          <w:sz w:val="24"/>
          <w:szCs w:val="24"/>
          <w:lang w:val="en-GB"/>
        </w:rPr>
        <w:t>“Department”</w:t>
      </w:r>
      <w:r w:rsidRPr="0065708A">
        <w:rPr>
          <w:rFonts w:ascii="Georgia" w:hAnsi="Georgia" w:cs="Arial"/>
          <w:b w:val="0"/>
          <w:bCs w:val="0"/>
          <w:sz w:val="24"/>
          <w:szCs w:val="24"/>
          <w:lang w:val="en-GB"/>
        </w:rPr>
        <w:t xml:space="preserve"> means an individual department within the Authority.</w:t>
      </w:r>
    </w:p>
    <w:p w:rsidR="0065708A" w:rsidRDefault="0065708A" w:rsidP="006F34F9">
      <w:pPr>
        <w:pStyle w:val="OrpicDefinitionsFontterm"/>
        <w:spacing w:line="240" w:lineRule="auto"/>
        <w:ind w:left="0" w:firstLine="0"/>
        <w:jc w:val="both"/>
        <w:rPr>
          <w:rFonts w:ascii="Georgia" w:hAnsi="Georgia" w:cs="Arial"/>
          <w:b w:val="0"/>
          <w:bCs w:val="0"/>
          <w:sz w:val="24"/>
          <w:szCs w:val="24"/>
          <w:lang w:val="en-GB"/>
        </w:rPr>
      </w:pPr>
      <w:r w:rsidRPr="0065708A">
        <w:rPr>
          <w:rFonts w:ascii="Georgia" w:hAnsi="Georgia" w:cs="Arial"/>
          <w:sz w:val="24"/>
          <w:szCs w:val="24"/>
          <w:lang w:val="en-GB"/>
        </w:rPr>
        <w:t xml:space="preserve">“Enterprise Architecture” </w:t>
      </w:r>
      <w:r w:rsidRPr="0065708A">
        <w:rPr>
          <w:rFonts w:ascii="Georgia" w:hAnsi="Georgia" w:cs="Arial"/>
          <w:b w:val="0"/>
          <w:bCs w:val="0"/>
          <w:sz w:val="24"/>
          <w:szCs w:val="24"/>
          <w:lang w:val="en-GB"/>
        </w:rPr>
        <w:t>means a conceptual document which outlines the baseline and target structure to achieve the current and future objectives of the Authority with the goal of</w:t>
      </w:r>
      <w:r w:rsidR="00B11C01">
        <w:rPr>
          <w:rFonts w:ascii="Georgia" w:hAnsi="Georgia" w:cs="Arial"/>
          <w:b w:val="0"/>
          <w:bCs w:val="0"/>
          <w:sz w:val="24"/>
          <w:szCs w:val="24"/>
          <w:lang w:val="en-GB"/>
        </w:rPr>
        <w:t xml:space="preserve"> having a unified IT structure.</w:t>
      </w:r>
    </w:p>
    <w:p w:rsidR="00B11C01" w:rsidRPr="005877FC" w:rsidRDefault="00B11C01" w:rsidP="006F34F9">
      <w:pPr>
        <w:pStyle w:val="REGA2"/>
        <w:spacing w:line="240" w:lineRule="auto"/>
        <w:ind w:left="0"/>
      </w:pPr>
      <w:r w:rsidRPr="00D71280">
        <w:rPr>
          <w:b/>
          <w:bCs w:val="0"/>
        </w:rPr>
        <w:t>“</w:t>
      </w:r>
      <w:r>
        <w:rPr>
          <w:b/>
          <w:bCs w:val="0"/>
        </w:rPr>
        <w:t>Key Performance Indicator (</w:t>
      </w:r>
      <w:r w:rsidRPr="00D71280">
        <w:rPr>
          <w:b/>
          <w:bCs w:val="0"/>
        </w:rPr>
        <w:t>KPI</w:t>
      </w:r>
      <w:r>
        <w:rPr>
          <w:b/>
          <w:bCs w:val="0"/>
        </w:rPr>
        <w:t>)</w:t>
      </w:r>
      <w:r w:rsidRPr="00D71280">
        <w:rPr>
          <w:b/>
          <w:bCs w:val="0"/>
        </w:rPr>
        <w:t>”</w:t>
      </w:r>
      <w:r>
        <w:rPr>
          <w:b/>
          <w:bCs w:val="0"/>
        </w:rPr>
        <w:t xml:space="preserve"> </w:t>
      </w:r>
      <w:r>
        <w:t xml:space="preserve">refers to </w:t>
      </w:r>
      <w:r w:rsidRPr="00D71280">
        <w:t>a quantifiable measure used to ev</w:t>
      </w:r>
      <w:r>
        <w:t>aluate the success of an organis</w:t>
      </w:r>
      <w:r w:rsidRPr="00D71280">
        <w:t>ation, employee, etc. in meeting objectives for performance.</w:t>
      </w:r>
    </w:p>
    <w:p w:rsidR="0065708A" w:rsidRPr="0065708A" w:rsidRDefault="0065708A" w:rsidP="006F34F9">
      <w:pPr>
        <w:pStyle w:val="OrpicDefinitionsFontterm"/>
        <w:spacing w:line="240" w:lineRule="auto"/>
        <w:ind w:left="0" w:firstLine="0"/>
        <w:jc w:val="both"/>
        <w:rPr>
          <w:rStyle w:val="OrpicDefinitionsFontdefinitionChar"/>
          <w:rFonts w:ascii="Georgia" w:hAnsi="Georgia" w:cs="Arial"/>
          <w:sz w:val="24"/>
          <w:szCs w:val="24"/>
        </w:rPr>
      </w:pPr>
      <w:r w:rsidRPr="0065708A">
        <w:rPr>
          <w:rFonts w:ascii="Georgia" w:hAnsi="Georgia" w:cs="Arial"/>
          <w:bCs w:val="0"/>
          <w:color w:val="000000"/>
          <w:sz w:val="24"/>
          <w:szCs w:val="24"/>
          <w:lang w:val="en-GB"/>
        </w:rPr>
        <w:t>“</w:t>
      </w:r>
      <w:r w:rsidRPr="0065708A">
        <w:rPr>
          <w:rFonts w:ascii="Georgia" w:hAnsi="Georgia" w:cs="Arial"/>
          <w:sz w:val="24"/>
          <w:szCs w:val="24"/>
          <w:lang w:val="en-GB"/>
        </w:rPr>
        <w:t>Laws and Regulations</w:t>
      </w:r>
      <w:r w:rsidRPr="0065708A">
        <w:rPr>
          <w:rFonts w:ascii="Georgia" w:hAnsi="Georgia" w:cs="Arial"/>
          <w:bCs w:val="0"/>
          <w:color w:val="000000"/>
          <w:sz w:val="24"/>
          <w:szCs w:val="24"/>
          <w:lang w:val="en-GB"/>
        </w:rPr>
        <w:t>”</w:t>
      </w:r>
      <w:r w:rsidRPr="0065708A">
        <w:rPr>
          <w:rFonts w:ascii="Georgia" w:hAnsi="Georgia" w:cs="Arial"/>
          <w:b w:val="0"/>
          <w:bCs w:val="0"/>
          <w:color w:val="000000"/>
          <w:sz w:val="24"/>
          <w:szCs w:val="24"/>
          <w:lang w:val="en-GB"/>
        </w:rPr>
        <w:t xml:space="preserve"> </w:t>
      </w:r>
      <w:r w:rsidRPr="0065708A">
        <w:rPr>
          <w:rFonts w:ascii="Georgia" w:hAnsi="Georgia" w:cs="Arial"/>
          <w:b w:val="0"/>
          <w:color w:val="000000"/>
          <w:sz w:val="24"/>
          <w:szCs w:val="24"/>
          <w:lang w:val="en-GB"/>
        </w:rPr>
        <w:t>means all relevant legislation, laws, regulations and standards.</w:t>
      </w:r>
      <w:r w:rsidRPr="0065708A">
        <w:rPr>
          <w:rStyle w:val="OrpicDefinitionsFontdefinitionChar"/>
          <w:rFonts w:ascii="Georgia" w:hAnsi="Georgia" w:cs="Arial"/>
          <w:sz w:val="24"/>
          <w:szCs w:val="24"/>
          <w:lang w:val="en-GB"/>
        </w:rPr>
        <w:t xml:space="preserve"> </w:t>
      </w:r>
    </w:p>
    <w:p w:rsidR="0065708A" w:rsidRPr="0065708A" w:rsidRDefault="0065708A" w:rsidP="006F34F9">
      <w:pPr>
        <w:pStyle w:val="OrpicDefinitionsFontterm"/>
        <w:spacing w:line="240" w:lineRule="auto"/>
        <w:ind w:left="0" w:firstLine="0"/>
        <w:jc w:val="both"/>
        <w:rPr>
          <w:rFonts w:ascii="Georgia" w:hAnsi="Georgia" w:cs="Arial"/>
          <w:sz w:val="24"/>
          <w:szCs w:val="24"/>
        </w:rPr>
      </w:pPr>
      <w:r w:rsidRPr="0065708A">
        <w:rPr>
          <w:rFonts w:ascii="Georgia" w:hAnsi="Georgia" w:cs="Arial"/>
          <w:sz w:val="24"/>
          <w:szCs w:val="24"/>
          <w:lang w:val="en-GB"/>
        </w:rPr>
        <w:t xml:space="preserve">“Service Desk” </w:t>
      </w:r>
      <w:r w:rsidRPr="0065708A">
        <w:rPr>
          <w:rStyle w:val="OrpicDefinitionsFontdefinitionChar"/>
          <w:rFonts w:ascii="Georgia" w:hAnsi="Georgia" w:cs="Arial"/>
          <w:sz w:val="24"/>
          <w:szCs w:val="24"/>
          <w:lang w:val="en-GB"/>
        </w:rPr>
        <w:t>is intended to provide a single point of contact ("SPOC") to meet the communication needs to all employees (IT users).</w:t>
      </w:r>
    </w:p>
    <w:p w:rsidR="0065708A" w:rsidRPr="0065708A" w:rsidRDefault="0065708A" w:rsidP="006F34F9">
      <w:pPr>
        <w:pStyle w:val="OrpicDefinitionsFontterm"/>
        <w:spacing w:line="240" w:lineRule="auto"/>
        <w:ind w:left="0" w:firstLine="0"/>
        <w:jc w:val="both"/>
        <w:rPr>
          <w:rFonts w:ascii="Georgia" w:hAnsi="Georgia" w:cs="Arial"/>
          <w:sz w:val="24"/>
          <w:szCs w:val="24"/>
          <w:lang w:val="en-GB"/>
        </w:rPr>
      </w:pPr>
      <w:r w:rsidRPr="0065708A">
        <w:rPr>
          <w:rFonts w:ascii="Georgia" w:hAnsi="Georgia" w:cs="Arial"/>
          <w:sz w:val="24"/>
          <w:szCs w:val="24"/>
          <w:lang w:val="en-GB"/>
        </w:rPr>
        <w:t xml:space="preserve">“Service Level Agreement” </w:t>
      </w:r>
      <w:r w:rsidRPr="0065708A">
        <w:rPr>
          <w:rStyle w:val="OrpicDefinitionsFontdefinitionChar"/>
          <w:rFonts w:ascii="Georgia" w:hAnsi="Georgia" w:cs="Arial"/>
          <w:sz w:val="24"/>
          <w:szCs w:val="24"/>
          <w:lang w:val="en-GB"/>
        </w:rPr>
        <w:t>is a written agreement between a service provider and the customer that documents the agreed service levels for a service, defining the key service targets and the responsibilities of both parties</w:t>
      </w:r>
      <w:r w:rsidRPr="0065708A">
        <w:rPr>
          <w:rFonts w:ascii="Georgia" w:hAnsi="Georgia" w:cs="Arial"/>
          <w:sz w:val="24"/>
          <w:szCs w:val="24"/>
          <w:lang w:val="en-GB"/>
        </w:rPr>
        <w:t>.</w:t>
      </w:r>
    </w:p>
    <w:p w:rsidR="007129FD" w:rsidRDefault="0065708A" w:rsidP="006F34F9">
      <w:pPr>
        <w:pStyle w:val="Header"/>
        <w:bidi w:val="0"/>
        <w:spacing w:before="120" w:after="120"/>
        <w:ind w:right="468"/>
        <w:rPr>
          <w:rStyle w:val="OrpicDefinitionsFontdefinitionChar"/>
          <w:rFonts w:ascii="Georgia" w:hAnsi="Georgia" w:cs="Arial"/>
          <w:b w:val="0"/>
          <w:bCs w:val="0"/>
          <w:sz w:val="24"/>
          <w:szCs w:val="24"/>
        </w:rPr>
      </w:pPr>
      <w:r w:rsidRPr="0065708A">
        <w:rPr>
          <w:rFonts w:ascii="Georgia" w:hAnsi="Georgia" w:cs="Arial"/>
          <w:b/>
          <w:bCs/>
          <w:lang w:val="en-GB"/>
        </w:rPr>
        <w:t>“Third party”</w:t>
      </w:r>
      <w:r w:rsidRPr="0065708A">
        <w:rPr>
          <w:rFonts w:ascii="Georgia" w:hAnsi="Georgia" w:cs="Arial"/>
          <w:lang w:val="en-GB"/>
        </w:rPr>
        <w:t xml:space="preserve"> is an</w:t>
      </w:r>
      <w:r w:rsidRPr="0065708A">
        <w:rPr>
          <w:rStyle w:val="OrpicDefinitionsFontdefinitionChar"/>
          <w:rFonts w:ascii="Georgia" w:hAnsi="Georgia" w:cs="Arial"/>
          <w:sz w:val="24"/>
          <w:szCs w:val="24"/>
          <w:lang w:val="en-GB"/>
        </w:rPr>
        <w:t xml:space="preserve"> </w:t>
      </w:r>
      <w:r w:rsidRPr="0065708A">
        <w:rPr>
          <w:rStyle w:val="OrpicDefinitionsFontdefinitionChar"/>
          <w:rFonts w:ascii="Georgia" w:hAnsi="Georgia" w:cs="Arial"/>
          <w:b w:val="0"/>
          <w:bCs w:val="0"/>
          <w:sz w:val="24"/>
          <w:szCs w:val="24"/>
          <w:lang w:val="en-GB"/>
        </w:rPr>
        <w:t>organisation or person that is not a part of the Authority</w:t>
      </w:r>
      <w:r w:rsidRPr="0065708A">
        <w:rPr>
          <w:rStyle w:val="OrpicDefinitionsFontdefinitionChar"/>
          <w:rFonts w:ascii="Georgia" w:hAnsi="Georgia" w:cs="Arial"/>
          <w:b w:val="0"/>
          <w:bCs w:val="0"/>
          <w:sz w:val="24"/>
          <w:szCs w:val="24"/>
        </w:rPr>
        <w:t>.</w:t>
      </w:r>
    </w:p>
    <w:p w:rsidR="00B11C01" w:rsidRPr="00B11C01" w:rsidRDefault="00B11C01" w:rsidP="006F34F9">
      <w:pPr>
        <w:pStyle w:val="REGA2"/>
        <w:spacing w:line="240" w:lineRule="auto"/>
        <w:ind w:left="0"/>
      </w:pPr>
      <w:r w:rsidRPr="009B3CDE">
        <w:rPr>
          <w:b/>
          <w:bCs w:val="0"/>
        </w:rPr>
        <w:t>“Turn</w:t>
      </w:r>
      <w:r>
        <w:rPr>
          <w:b/>
          <w:bCs w:val="0"/>
        </w:rPr>
        <w:t xml:space="preserve">around Time” </w:t>
      </w:r>
      <w:r>
        <w:t xml:space="preserve">means </w:t>
      </w:r>
      <w:r w:rsidRPr="00D71280">
        <w:t xml:space="preserve">the total time taken between the submission of a </w:t>
      </w:r>
      <w:r>
        <w:t>task</w:t>
      </w:r>
      <w:r w:rsidRPr="00D71280">
        <w:t xml:space="preserve"> for execution and the return of the complete output to the </w:t>
      </w:r>
      <w:r>
        <w:t>requestor.</w:t>
      </w:r>
    </w:p>
    <w:sectPr w:rsidR="00B11C01" w:rsidRPr="00B11C0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6782" w:rsidRDefault="00866782" w:rsidP="00213CA8">
      <w:r>
        <w:separator/>
      </w:r>
    </w:p>
  </w:endnote>
  <w:endnote w:type="continuationSeparator" w:id="0">
    <w:p w:rsidR="00866782" w:rsidRDefault="00866782" w:rsidP="00213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kkal Majalla">
    <w:altName w:val="Times New Roman"/>
    <w:charset w:val="00"/>
    <w:family w:val="auto"/>
    <w:pitch w:val="variable"/>
    <w:sig w:usb0="80002007" w:usb1="80000000" w:usb2="00000008" w:usb3="00000000" w:csb0="000000D3"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90" w:type="dxa"/>
      <w:tblBorders>
        <w:top w:val="single" w:sz="4" w:space="0" w:color="808080" w:themeColor="background1" w:themeShade="80"/>
        <w:bottom w:val="single" w:sz="4" w:space="0" w:color="808080" w:themeColor="background1" w:themeShade="80"/>
      </w:tblBorders>
      <w:tblLayout w:type="fixed"/>
      <w:tblLook w:val="04A0" w:firstRow="1" w:lastRow="0" w:firstColumn="1" w:lastColumn="0" w:noHBand="0" w:noVBand="1"/>
    </w:tblPr>
    <w:tblGrid>
      <w:gridCol w:w="1658"/>
      <w:gridCol w:w="767"/>
      <w:gridCol w:w="1653"/>
      <w:gridCol w:w="1090"/>
      <w:gridCol w:w="2250"/>
      <w:gridCol w:w="2572"/>
    </w:tblGrid>
    <w:tr w:rsidR="00B306C7" w:rsidRPr="00D92D55" w:rsidTr="00D32565">
      <w:trPr>
        <w:trHeight w:val="537"/>
      </w:trPr>
      <w:tc>
        <w:tcPr>
          <w:tcW w:w="1658" w:type="dxa"/>
          <w:vAlign w:val="center"/>
        </w:tcPr>
        <w:p w:rsidR="00B306C7" w:rsidRPr="00D92D55" w:rsidRDefault="00B306C7" w:rsidP="009C6ABF">
          <w:pPr>
            <w:tabs>
              <w:tab w:val="left" w:pos="110"/>
            </w:tabs>
            <w:bidi w:val="0"/>
            <w:spacing w:before="20" w:after="20"/>
            <w:ind w:left="110" w:right="-462"/>
            <w:rPr>
              <w:rFonts w:ascii="Verdana" w:hAnsi="Verdana" w:cs="Calibri"/>
              <w:sz w:val="14"/>
              <w:szCs w:val="14"/>
            </w:rPr>
          </w:pPr>
          <w:r w:rsidRPr="00D92D55">
            <w:rPr>
              <w:rFonts w:ascii="Verdana" w:eastAsiaTheme="majorEastAsia" w:hAnsi="Verdana" w:cs="Calibri"/>
              <w:sz w:val="14"/>
              <w:szCs w:val="14"/>
            </w:rPr>
            <w:t>Document No:</w:t>
          </w:r>
          <w:r w:rsidRPr="00D92D55">
            <w:rPr>
              <w:rFonts w:ascii="Verdana" w:eastAsiaTheme="majorEastAsia" w:hAnsi="Verdana" w:cs="Calibri"/>
              <w:sz w:val="14"/>
              <w:szCs w:val="14"/>
            </w:rPr>
            <w:br/>
          </w:r>
          <w:r>
            <w:rPr>
              <w:rFonts w:ascii="Verdana" w:eastAsiaTheme="majorEastAsia" w:hAnsi="Verdana" w:cs="Calibri"/>
              <w:sz w:val="14"/>
              <w:szCs w:val="14"/>
            </w:rPr>
            <w:t>PRO-</w:t>
          </w:r>
          <w:r w:rsidR="0041287B">
            <w:rPr>
              <w:rFonts w:ascii="Verdana" w:eastAsiaTheme="majorEastAsia" w:hAnsi="Verdana" w:cs="Calibri"/>
              <w:sz w:val="14"/>
              <w:szCs w:val="14"/>
            </w:rPr>
            <w:t>IT-v1.0-1.</w:t>
          </w:r>
          <w:r w:rsidR="005D6537">
            <w:rPr>
              <w:rFonts w:ascii="Verdana" w:eastAsiaTheme="majorEastAsia" w:hAnsi="Verdana" w:cs="Calibri"/>
              <w:sz w:val="14"/>
              <w:szCs w:val="14"/>
            </w:rPr>
            <w:t>1</w:t>
          </w:r>
          <w:r w:rsidR="009C6ABF">
            <w:rPr>
              <w:rFonts w:ascii="Verdana" w:eastAsiaTheme="majorEastAsia" w:hAnsi="Verdana" w:cs="Calibri"/>
              <w:sz w:val="14"/>
              <w:szCs w:val="14"/>
            </w:rPr>
            <w:t>1</w:t>
          </w:r>
        </w:p>
      </w:tc>
      <w:tc>
        <w:tcPr>
          <w:tcW w:w="767" w:type="dxa"/>
          <w:vAlign w:val="center"/>
        </w:tcPr>
        <w:p w:rsidR="00B306C7" w:rsidRPr="00D92D55" w:rsidRDefault="00B306C7" w:rsidP="00777FE3">
          <w:pPr>
            <w:numPr>
              <w:ilvl w:val="0"/>
              <w:numId w:val="4"/>
            </w:numPr>
            <w:tabs>
              <w:tab w:val="left" w:pos="-630"/>
            </w:tabs>
            <w:bidi w:val="0"/>
            <w:spacing w:before="20" w:after="20" w:line="240" w:lineRule="exact"/>
            <w:ind w:left="-540" w:right="-108" w:hanging="540"/>
            <w:rPr>
              <w:rFonts w:ascii="Verdana" w:hAnsi="Verdana" w:cs="Calibri"/>
              <w:sz w:val="14"/>
              <w:szCs w:val="14"/>
            </w:rPr>
          </w:pPr>
          <w:r w:rsidRPr="00D92D55">
            <w:rPr>
              <w:rFonts w:ascii="Verdana" w:hAnsi="Verdana" w:cs="Calibri"/>
              <w:sz w:val="14"/>
              <w:szCs w:val="14"/>
            </w:rPr>
            <w:t xml:space="preserve"> </w:t>
          </w:r>
        </w:p>
      </w:tc>
      <w:tc>
        <w:tcPr>
          <w:tcW w:w="1653" w:type="dxa"/>
          <w:vAlign w:val="center"/>
        </w:tcPr>
        <w:p w:rsidR="00B306C7" w:rsidRPr="00D92D55" w:rsidRDefault="00B306C7" w:rsidP="00777FE3">
          <w:pPr>
            <w:tabs>
              <w:tab w:val="left" w:pos="314"/>
            </w:tabs>
            <w:spacing w:before="20" w:after="20"/>
            <w:ind w:right="-108"/>
            <w:rPr>
              <w:rFonts w:ascii="Verdana" w:hAnsi="Verdana" w:cs="Calibri"/>
              <w:sz w:val="14"/>
              <w:szCs w:val="14"/>
            </w:rPr>
          </w:pPr>
          <w:r w:rsidRPr="00D92D55">
            <w:rPr>
              <w:rFonts w:ascii="Verdana" w:hAnsi="Verdana" w:cs="Calibri"/>
              <w:sz w:val="14"/>
              <w:szCs w:val="14"/>
            </w:rPr>
            <w:t xml:space="preserve">            Version No.</w:t>
          </w:r>
        </w:p>
        <w:p w:rsidR="00B306C7" w:rsidRPr="00D92D55" w:rsidRDefault="00B306C7" w:rsidP="00E42577">
          <w:pPr>
            <w:tabs>
              <w:tab w:val="left" w:pos="634"/>
            </w:tabs>
            <w:spacing w:before="20" w:after="20"/>
            <w:ind w:left="-406" w:right="-108"/>
            <w:jc w:val="center"/>
            <w:rPr>
              <w:rFonts w:ascii="Verdana" w:hAnsi="Verdana" w:cs="Calibri"/>
              <w:sz w:val="14"/>
              <w:szCs w:val="14"/>
            </w:rPr>
          </w:pPr>
          <w:r w:rsidRPr="00D92D55">
            <w:rPr>
              <w:rFonts w:ascii="Verdana" w:hAnsi="Verdana" w:cs="Calibri"/>
              <w:sz w:val="14"/>
              <w:szCs w:val="14"/>
            </w:rPr>
            <w:t>v 1.0</w:t>
          </w:r>
        </w:p>
      </w:tc>
      <w:tc>
        <w:tcPr>
          <w:tcW w:w="1090" w:type="dxa"/>
        </w:tcPr>
        <w:p w:rsidR="00B306C7" w:rsidRPr="00D92D55" w:rsidRDefault="00B306C7" w:rsidP="00777FE3">
          <w:pPr>
            <w:numPr>
              <w:ilvl w:val="0"/>
              <w:numId w:val="4"/>
            </w:numPr>
            <w:tabs>
              <w:tab w:val="left" w:pos="-630"/>
            </w:tabs>
            <w:bidi w:val="0"/>
            <w:spacing w:before="20" w:after="20" w:line="240" w:lineRule="exact"/>
            <w:ind w:left="-540" w:right="-108" w:hanging="540"/>
            <w:rPr>
              <w:rFonts w:ascii="Verdana" w:hAnsi="Verdana" w:cs="Calibri"/>
              <w:b/>
              <w:bCs/>
              <w:sz w:val="14"/>
              <w:szCs w:val="14"/>
            </w:rPr>
          </w:pPr>
        </w:p>
      </w:tc>
      <w:tc>
        <w:tcPr>
          <w:tcW w:w="2250" w:type="dxa"/>
          <w:vAlign w:val="center"/>
        </w:tcPr>
        <w:p w:rsidR="00B306C7" w:rsidRPr="00D92D55" w:rsidRDefault="00B306C7" w:rsidP="00777FE3">
          <w:pPr>
            <w:numPr>
              <w:ilvl w:val="0"/>
              <w:numId w:val="4"/>
            </w:numPr>
            <w:tabs>
              <w:tab w:val="left" w:pos="14"/>
            </w:tabs>
            <w:bidi w:val="0"/>
            <w:spacing w:before="20" w:after="20" w:line="240" w:lineRule="exact"/>
            <w:ind w:left="104" w:right="-108" w:hanging="540"/>
            <w:rPr>
              <w:rFonts w:ascii="Verdana" w:hAnsi="Verdana" w:cs="Calibri"/>
              <w:sz w:val="14"/>
              <w:szCs w:val="14"/>
            </w:rPr>
          </w:pPr>
          <w:r>
            <w:rPr>
              <w:rFonts w:ascii="Verdana" w:hAnsi="Verdana" w:cs="Calibri"/>
              <w:sz w:val="14"/>
              <w:szCs w:val="14"/>
            </w:rPr>
            <w:t xml:space="preserve">  Date of Issue</w:t>
          </w:r>
          <w:r>
            <w:rPr>
              <w:rFonts w:ascii="Verdana" w:hAnsi="Verdana" w:cs="Calibri"/>
              <w:sz w:val="14"/>
              <w:szCs w:val="14"/>
            </w:rPr>
            <w:br/>
            <w:t>XX/XX/2019</w:t>
          </w:r>
        </w:p>
      </w:tc>
      <w:tc>
        <w:tcPr>
          <w:tcW w:w="2572" w:type="dxa"/>
          <w:vAlign w:val="center"/>
        </w:tcPr>
        <w:p w:rsidR="00B306C7" w:rsidRDefault="00B306C7" w:rsidP="00E42577">
          <w:pPr>
            <w:tabs>
              <w:tab w:val="left" w:pos="-630"/>
            </w:tabs>
            <w:bidi w:val="0"/>
            <w:spacing w:before="20" w:after="20"/>
            <w:ind w:left="-480" w:right="-108"/>
            <w:jc w:val="right"/>
            <w:rPr>
              <w:rFonts w:ascii="Verdana" w:hAnsi="Verdana" w:cs="Calibri"/>
              <w:sz w:val="14"/>
              <w:szCs w:val="14"/>
            </w:rPr>
          </w:pPr>
          <w:r w:rsidRPr="00D92D55">
            <w:rPr>
              <w:rFonts w:ascii="Verdana" w:hAnsi="Verdana" w:cs="Calibri"/>
              <w:sz w:val="14"/>
              <w:szCs w:val="14"/>
            </w:rPr>
            <w:t>Page No</w:t>
          </w:r>
          <w:r>
            <w:rPr>
              <w:rFonts w:ascii="Verdana" w:hAnsi="Verdana" w:cs="Calibri"/>
              <w:sz w:val="14"/>
              <w:szCs w:val="14"/>
            </w:rPr>
            <w:t>.</w:t>
          </w:r>
        </w:p>
        <w:p w:rsidR="00B306C7" w:rsidRPr="00D92D55" w:rsidRDefault="00B306C7" w:rsidP="00E42577">
          <w:pPr>
            <w:tabs>
              <w:tab w:val="left" w:pos="-630"/>
            </w:tabs>
            <w:bidi w:val="0"/>
            <w:spacing w:before="20" w:after="20"/>
            <w:ind w:left="-480" w:right="-108"/>
            <w:jc w:val="right"/>
            <w:rPr>
              <w:rFonts w:ascii="Verdana" w:hAnsi="Verdana" w:cs="Calibri"/>
              <w:sz w:val="14"/>
              <w:szCs w:val="14"/>
            </w:rPr>
          </w:pPr>
          <w:r w:rsidRPr="00D92D55">
            <w:rPr>
              <w:rFonts w:ascii="Verdana" w:hAnsi="Verdana" w:cs="Calibri"/>
              <w:sz w:val="14"/>
              <w:szCs w:val="14"/>
            </w:rPr>
            <w:fldChar w:fldCharType="begin"/>
          </w:r>
          <w:r w:rsidRPr="00D92D55">
            <w:rPr>
              <w:rFonts w:ascii="Verdana" w:hAnsi="Verdana" w:cs="Calibri"/>
              <w:sz w:val="14"/>
              <w:szCs w:val="14"/>
            </w:rPr>
            <w:instrText xml:space="preserve"> PAGE </w:instrText>
          </w:r>
          <w:r w:rsidRPr="00D92D55">
            <w:rPr>
              <w:rFonts w:ascii="Verdana" w:hAnsi="Verdana" w:cs="Calibri"/>
              <w:sz w:val="14"/>
              <w:szCs w:val="14"/>
            </w:rPr>
            <w:fldChar w:fldCharType="separate"/>
          </w:r>
          <w:r w:rsidR="009C6ABF">
            <w:rPr>
              <w:rFonts w:ascii="Verdana" w:hAnsi="Verdana" w:cs="Calibri"/>
              <w:noProof/>
              <w:sz w:val="14"/>
              <w:szCs w:val="14"/>
            </w:rPr>
            <w:t>7</w:t>
          </w:r>
          <w:r w:rsidRPr="00D92D55">
            <w:rPr>
              <w:rFonts w:ascii="Verdana" w:hAnsi="Verdana" w:cs="Calibri"/>
              <w:sz w:val="14"/>
              <w:szCs w:val="14"/>
            </w:rPr>
            <w:fldChar w:fldCharType="end"/>
          </w:r>
          <w:r w:rsidRPr="00D92D55">
            <w:rPr>
              <w:rFonts w:ascii="Verdana" w:hAnsi="Verdana" w:cs="Calibri"/>
              <w:sz w:val="14"/>
              <w:szCs w:val="14"/>
            </w:rPr>
            <w:t xml:space="preserve"> of </w:t>
          </w:r>
          <w:r w:rsidRPr="00D92D55">
            <w:rPr>
              <w:rFonts w:ascii="Verdana" w:hAnsi="Verdana" w:cs="Calibri"/>
              <w:sz w:val="14"/>
              <w:szCs w:val="14"/>
            </w:rPr>
            <w:fldChar w:fldCharType="begin"/>
          </w:r>
          <w:r w:rsidRPr="00D92D55">
            <w:rPr>
              <w:rFonts w:ascii="Verdana" w:hAnsi="Verdana" w:cs="Calibri"/>
              <w:sz w:val="14"/>
              <w:szCs w:val="14"/>
            </w:rPr>
            <w:instrText xml:space="preserve"> NUMPAGES </w:instrText>
          </w:r>
          <w:r w:rsidRPr="00D92D55">
            <w:rPr>
              <w:rFonts w:ascii="Verdana" w:hAnsi="Verdana" w:cs="Calibri"/>
              <w:sz w:val="14"/>
              <w:szCs w:val="14"/>
            </w:rPr>
            <w:fldChar w:fldCharType="separate"/>
          </w:r>
          <w:r w:rsidR="009C6ABF">
            <w:rPr>
              <w:rFonts w:ascii="Verdana" w:hAnsi="Verdana" w:cs="Calibri"/>
              <w:noProof/>
              <w:sz w:val="14"/>
              <w:szCs w:val="14"/>
            </w:rPr>
            <w:t>7</w:t>
          </w:r>
          <w:r w:rsidRPr="00D92D55">
            <w:rPr>
              <w:rFonts w:ascii="Verdana" w:hAnsi="Verdana" w:cs="Calibri"/>
              <w:sz w:val="14"/>
              <w:szCs w:val="14"/>
            </w:rPr>
            <w:fldChar w:fldCharType="end"/>
          </w:r>
        </w:p>
      </w:tc>
    </w:tr>
  </w:tbl>
  <w:p w:rsidR="00B306C7" w:rsidRDefault="00B306C7" w:rsidP="00777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6782" w:rsidRDefault="00866782" w:rsidP="00213CA8">
      <w:r>
        <w:separator/>
      </w:r>
    </w:p>
  </w:footnote>
  <w:footnote w:type="continuationSeparator" w:id="0">
    <w:p w:rsidR="00866782" w:rsidRDefault="00866782" w:rsidP="00213C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10"/>
      <w:gridCol w:w="3240"/>
      <w:gridCol w:w="3330"/>
    </w:tblGrid>
    <w:tr w:rsidR="00B306C7" w:rsidRPr="00083DE7" w:rsidTr="00094B34">
      <w:trPr>
        <w:trHeight w:hRule="exact" w:val="1152"/>
      </w:trPr>
      <w:tc>
        <w:tcPr>
          <w:tcW w:w="3510" w:type="dxa"/>
          <w:vAlign w:val="center"/>
        </w:tcPr>
        <w:p w:rsidR="00B306C7" w:rsidRPr="00083DE7" w:rsidRDefault="00B306C7" w:rsidP="006740D1">
          <w:pPr>
            <w:pStyle w:val="Header"/>
            <w:bidi w:val="0"/>
            <w:jc w:val="center"/>
            <w:rPr>
              <w:rFonts w:ascii="Georgia" w:hAnsi="Georgia" w:cs="Sakkal Majalla"/>
              <w:noProof/>
              <w:color w:val="0000FF"/>
              <w:sz w:val="28"/>
              <w:szCs w:val="28"/>
            </w:rPr>
          </w:pPr>
          <w:r w:rsidRPr="00083DE7">
            <w:rPr>
              <w:rFonts w:ascii="Georgia" w:hAnsi="Georgia"/>
              <w:noProof/>
              <w:lang w:val="en-GB" w:eastAsia="en-GB"/>
            </w:rPr>
            <w:drawing>
              <wp:anchor distT="0" distB="0" distL="114300" distR="114300" simplePos="0" relativeHeight="251659264" behindDoc="0" locked="0" layoutInCell="1" allowOverlap="1" wp14:anchorId="32B6607B" wp14:editId="19A028FA">
                <wp:simplePos x="0" y="0"/>
                <wp:positionH relativeFrom="margin">
                  <wp:posOffset>71120</wp:posOffset>
                </wp:positionH>
                <wp:positionV relativeFrom="paragraph">
                  <wp:posOffset>19685</wp:posOffset>
                </wp:positionV>
                <wp:extent cx="1955800" cy="555625"/>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5800" cy="5556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240" w:type="dxa"/>
          <w:vAlign w:val="center"/>
        </w:tcPr>
        <w:p w:rsidR="00B306C7" w:rsidRPr="00083DE7" w:rsidRDefault="000A3885" w:rsidP="00BF5312">
          <w:pPr>
            <w:pStyle w:val="Header"/>
            <w:bidi w:val="0"/>
            <w:jc w:val="center"/>
            <w:rPr>
              <w:rFonts w:ascii="Georgia" w:hAnsi="Georgia" w:cs="Sakkal Majalla"/>
              <w:bCs/>
              <w:color w:val="0000FF"/>
              <w:sz w:val="28"/>
              <w:szCs w:val="28"/>
            </w:rPr>
          </w:pPr>
          <w:r w:rsidRPr="000A3885">
            <w:rPr>
              <w:rFonts w:ascii="Georgia" w:hAnsi="Georgia" w:cs="Sakkal Majalla"/>
              <w:bCs/>
              <w:color w:val="0000FF"/>
              <w:sz w:val="28"/>
              <w:szCs w:val="28"/>
            </w:rPr>
            <w:t>Define Service Level Agreements</w:t>
          </w:r>
        </w:p>
      </w:tc>
      <w:tc>
        <w:tcPr>
          <w:tcW w:w="3330" w:type="dxa"/>
          <w:vAlign w:val="center"/>
        </w:tcPr>
        <w:p w:rsidR="00B306C7" w:rsidRPr="00083DE7" w:rsidRDefault="00B306C7" w:rsidP="006740D1">
          <w:pPr>
            <w:pStyle w:val="Header"/>
            <w:bidi w:val="0"/>
            <w:jc w:val="center"/>
            <w:rPr>
              <w:rFonts w:ascii="Georgia" w:hAnsi="Georgia" w:cs="Sakkal Majalla"/>
              <w:b/>
              <w:bCs/>
              <w:noProof/>
              <w:sz w:val="28"/>
              <w:szCs w:val="28"/>
              <w:rtl/>
            </w:rPr>
          </w:pPr>
          <w:r w:rsidRPr="00083DE7">
            <w:rPr>
              <w:rFonts w:ascii="Georgia" w:hAnsi="Georgia" w:cs="Sakkal Majalla"/>
              <w:b/>
              <w:bCs/>
              <w:noProof/>
              <w:sz w:val="28"/>
              <w:szCs w:val="28"/>
            </w:rPr>
            <w:t>Document type</w:t>
          </w:r>
        </w:p>
        <w:p w:rsidR="00B306C7" w:rsidRPr="00083DE7" w:rsidRDefault="00B306C7" w:rsidP="006740D1">
          <w:pPr>
            <w:pStyle w:val="Header"/>
            <w:bidi w:val="0"/>
            <w:jc w:val="center"/>
            <w:rPr>
              <w:rFonts w:ascii="Georgia" w:hAnsi="Georgia" w:cs="Sakkal Majalla"/>
              <w:bCs/>
              <w:color w:val="0000FF"/>
              <w:sz w:val="28"/>
              <w:szCs w:val="28"/>
            </w:rPr>
          </w:pPr>
          <w:r w:rsidRPr="00083DE7">
            <w:rPr>
              <w:rFonts w:ascii="Georgia" w:hAnsi="Georgia" w:cs="Sakkal Majalla"/>
              <w:bCs/>
              <w:color w:val="0000FF"/>
              <w:sz w:val="28"/>
              <w:szCs w:val="28"/>
            </w:rPr>
            <w:t>Procedure Narrative</w:t>
          </w:r>
        </w:p>
      </w:tc>
    </w:tr>
    <w:tr w:rsidR="00B306C7" w:rsidRPr="00083DE7" w:rsidTr="00533E8B">
      <w:trPr>
        <w:trHeight w:hRule="exact" w:val="1459"/>
      </w:trPr>
      <w:tc>
        <w:tcPr>
          <w:tcW w:w="3510" w:type="dxa"/>
          <w:vAlign w:val="center"/>
        </w:tcPr>
        <w:p w:rsidR="00B306C7" w:rsidRPr="00083DE7" w:rsidRDefault="00B306C7" w:rsidP="006740D1">
          <w:pPr>
            <w:pStyle w:val="Header"/>
            <w:bidi w:val="0"/>
            <w:jc w:val="center"/>
            <w:rPr>
              <w:rFonts w:ascii="Georgia" w:hAnsi="Georgia" w:cs="Sakkal Majalla"/>
              <w:b/>
              <w:bCs/>
              <w:noProof/>
              <w:sz w:val="28"/>
              <w:szCs w:val="28"/>
            </w:rPr>
          </w:pPr>
          <w:r w:rsidRPr="00083DE7">
            <w:rPr>
              <w:rFonts w:ascii="Georgia" w:hAnsi="Georgia" w:cs="Sakkal Majalla"/>
              <w:b/>
              <w:bCs/>
              <w:noProof/>
              <w:sz w:val="28"/>
              <w:szCs w:val="28"/>
            </w:rPr>
            <w:t>Department</w:t>
          </w:r>
        </w:p>
        <w:p w:rsidR="00B306C7" w:rsidRPr="00083DE7" w:rsidRDefault="0041287B" w:rsidP="006740D1">
          <w:pPr>
            <w:pStyle w:val="Header"/>
            <w:bidi w:val="0"/>
            <w:jc w:val="center"/>
            <w:rPr>
              <w:rFonts w:ascii="Georgia" w:hAnsi="Georgia" w:cs="Sakkal Majalla"/>
              <w:color w:val="0000FF"/>
              <w:sz w:val="28"/>
              <w:szCs w:val="28"/>
              <w:rtl/>
            </w:rPr>
          </w:pPr>
          <w:r>
            <w:rPr>
              <w:rFonts w:ascii="Georgia" w:hAnsi="Georgia" w:cs="Sakkal Majalla"/>
              <w:color w:val="0000FF"/>
              <w:sz w:val="28"/>
              <w:szCs w:val="28"/>
            </w:rPr>
            <w:t xml:space="preserve">IT &amp; Security </w:t>
          </w:r>
          <w:r w:rsidR="004C3A87">
            <w:rPr>
              <w:rFonts w:ascii="Georgia" w:hAnsi="Georgia" w:cs="Sakkal Majalla"/>
              <w:color w:val="0000FF"/>
              <w:sz w:val="28"/>
              <w:szCs w:val="28"/>
            </w:rPr>
            <w:t>Department</w:t>
          </w:r>
        </w:p>
      </w:tc>
      <w:tc>
        <w:tcPr>
          <w:tcW w:w="3240" w:type="dxa"/>
          <w:vAlign w:val="center"/>
        </w:tcPr>
        <w:p w:rsidR="00B306C7" w:rsidRPr="00083DE7" w:rsidRDefault="00B306C7" w:rsidP="006740D1">
          <w:pPr>
            <w:tabs>
              <w:tab w:val="center" w:pos="4680"/>
              <w:tab w:val="right" w:pos="9360"/>
            </w:tabs>
            <w:bidi w:val="0"/>
            <w:jc w:val="center"/>
            <w:rPr>
              <w:rFonts w:ascii="Georgia" w:hAnsi="Georgia" w:cs="Sakkal Majalla"/>
              <w:b/>
              <w:bCs/>
              <w:noProof/>
              <w:sz w:val="28"/>
              <w:szCs w:val="28"/>
            </w:rPr>
          </w:pPr>
          <w:r>
            <w:rPr>
              <w:rFonts w:ascii="Georgia" w:hAnsi="Georgia" w:cs="Sakkal Majalla"/>
              <w:b/>
              <w:bCs/>
              <w:noProof/>
              <w:sz w:val="28"/>
              <w:szCs w:val="28"/>
            </w:rPr>
            <w:t>Owner</w:t>
          </w:r>
        </w:p>
        <w:p w:rsidR="00B306C7" w:rsidRPr="00083DE7" w:rsidRDefault="0041287B" w:rsidP="006740D1">
          <w:pPr>
            <w:pStyle w:val="Header"/>
            <w:bidi w:val="0"/>
            <w:jc w:val="center"/>
            <w:rPr>
              <w:rFonts w:ascii="Georgia" w:hAnsi="Georgia"/>
              <w:sz w:val="28"/>
              <w:szCs w:val="28"/>
            </w:rPr>
          </w:pPr>
          <w:r>
            <w:rPr>
              <w:rFonts w:ascii="Georgia" w:hAnsi="Georgia" w:cs="Sakkal Majalla"/>
              <w:bCs/>
              <w:color w:val="0000FF"/>
              <w:sz w:val="28"/>
              <w:szCs w:val="28"/>
            </w:rPr>
            <w:t>IT Department General Manager</w:t>
          </w:r>
        </w:p>
      </w:tc>
      <w:tc>
        <w:tcPr>
          <w:tcW w:w="3330" w:type="dxa"/>
          <w:vAlign w:val="center"/>
        </w:tcPr>
        <w:p w:rsidR="00B306C7" w:rsidRPr="00083DE7" w:rsidRDefault="00B306C7" w:rsidP="006740D1">
          <w:pPr>
            <w:pStyle w:val="Header"/>
            <w:bidi w:val="0"/>
            <w:jc w:val="center"/>
            <w:rPr>
              <w:rFonts w:ascii="Georgia" w:hAnsi="Georgia" w:cs="Sakkal Majalla"/>
              <w:b/>
              <w:bCs/>
              <w:noProof/>
              <w:sz w:val="28"/>
              <w:szCs w:val="28"/>
            </w:rPr>
          </w:pPr>
          <w:r w:rsidRPr="00083DE7">
            <w:rPr>
              <w:rFonts w:ascii="Georgia" w:hAnsi="Georgia" w:cs="Sakkal Majalla"/>
              <w:b/>
              <w:bCs/>
              <w:noProof/>
              <w:sz w:val="28"/>
              <w:szCs w:val="28"/>
            </w:rPr>
            <w:t>Approved By</w:t>
          </w:r>
        </w:p>
        <w:p w:rsidR="00B306C7" w:rsidRPr="00083DE7" w:rsidRDefault="00B306C7" w:rsidP="006740D1">
          <w:pPr>
            <w:pStyle w:val="Header"/>
            <w:bidi w:val="0"/>
            <w:jc w:val="center"/>
            <w:rPr>
              <w:rFonts w:ascii="Georgia" w:hAnsi="Georgia" w:cs="Sakkal Majalla"/>
              <w:bCs/>
              <w:color w:val="0000FF"/>
              <w:sz w:val="28"/>
              <w:szCs w:val="28"/>
              <w:rtl/>
            </w:rPr>
          </w:pPr>
          <w:r>
            <w:rPr>
              <w:rFonts w:ascii="Georgia" w:hAnsi="Georgia" w:cs="Sakkal Majalla"/>
              <w:bCs/>
              <w:color w:val="0000FF"/>
              <w:sz w:val="28"/>
              <w:szCs w:val="28"/>
            </w:rPr>
            <w:t>Governor</w:t>
          </w:r>
        </w:p>
      </w:tc>
    </w:tr>
  </w:tbl>
  <w:p w:rsidR="00B306C7" w:rsidRDefault="00B306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56634"/>
    <w:multiLevelType w:val="hybridMultilevel"/>
    <w:tmpl w:val="65A4BC9C"/>
    <w:lvl w:ilvl="0" w:tplc="0D524CCA">
      <w:start w:val="1"/>
      <w:numFmt w:val="bullet"/>
      <w:lvlText w:val=""/>
      <w:lvlJc w:val="left"/>
      <w:pPr>
        <w:ind w:left="1080" w:hanging="360"/>
      </w:pPr>
      <w:rPr>
        <w:rFonts w:ascii="Symbol" w:hAnsi="Symbol" w:hint="default"/>
        <w:b w:val="0"/>
        <w:i w:val="0"/>
        <w:sz w:val="22"/>
      </w:rPr>
    </w:lvl>
    <w:lvl w:ilvl="1" w:tplc="2A320EEE">
      <w:start w:val="1"/>
      <w:numFmt w:val="lowerLetter"/>
      <w:lvlText w:val="%2)"/>
      <w:lvlJc w:val="left"/>
      <w:pPr>
        <w:ind w:left="1800" w:hanging="360"/>
      </w:pPr>
      <w:rPr>
        <w:b/>
        <w:bCs w:val="0"/>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4067AA1"/>
    <w:multiLevelType w:val="hybridMultilevel"/>
    <w:tmpl w:val="A2401194"/>
    <w:lvl w:ilvl="0" w:tplc="04BAC68A">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2B49FC"/>
    <w:multiLevelType w:val="hybridMultilevel"/>
    <w:tmpl w:val="CAC463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A62EE5"/>
    <w:multiLevelType w:val="hybridMultilevel"/>
    <w:tmpl w:val="52DC4E08"/>
    <w:lvl w:ilvl="0" w:tplc="56BE0AFA">
      <w:start w:val="1"/>
      <w:numFmt w:val="decimal"/>
      <w:lvlText w:val="3.%1"/>
      <w:lvlJc w:val="left"/>
      <w:pPr>
        <w:ind w:left="1080" w:hanging="360"/>
      </w:pPr>
      <w:rPr>
        <w:rFonts w:ascii="Georgia" w:hAnsi="Georgia" w:cs="Georgia" w:hint="default"/>
        <w:b w:val="0"/>
        <w:i w:val="0"/>
        <w:spacing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94F5203"/>
    <w:multiLevelType w:val="hybridMultilevel"/>
    <w:tmpl w:val="A67C4F42"/>
    <w:lvl w:ilvl="0" w:tplc="ED7C6B90">
      <w:start w:val="1"/>
      <w:numFmt w:val="lowerLetter"/>
      <w:lvlText w:val="%1)"/>
      <w:lvlJc w:val="left"/>
      <w:pPr>
        <w:ind w:left="1800" w:hanging="360"/>
      </w:pPr>
      <w:rPr>
        <w:b/>
        <w:bCs w:val="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0DC317F3"/>
    <w:multiLevelType w:val="hybridMultilevel"/>
    <w:tmpl w:val="14A44B7E"/>
    <w:lvl w:ilvl="0" w:tplc="0D524CCA">
      <w:start w:val="1"/>
      <w:numFmt w:val="bullet"/>
      <w:lvlText w:val=""/>
      <w:lvlJc w:val="left"/>
      <w:pPr>
        <w:ind w:left="1080" w:hanging="360"/>
      </w:pPr>
      <w:rPr>
        <w:rFonts w:ascii="Symbol" w:hAnsi="Symbol" w:hint="default"/>
        <w:b w:val="0"/>
        <w:i w:val="0"/>
        <w:sz w:val="22"/>
      </w:rPr>
    </w:lvl>
    <w:lvl w:ilvl="1" w:tplc="2A320EEE">
      <w:start w:val="1"/>
      <w:numFmt w:val="lowerLetter"/>
      <w:lvlText w:val="%2)"/>
      <w:lvlJc w:val="left"/>
      <w:pPr>
        <w:ind w:left="1800" w:hanging="360"/>
      </w:pPr>
      <w:rPr>
        <w:b/>
        <w:bCs w:val="0"/>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54F28DA"/>
    <w:multiLevelType w:val="hybridMultilevel"/>
    <w:tmpl w:val="9C724D9A"/>
    <w:lvl w:ilvl="0" w:tplc="9448FDFA">
      <w:start w:val="1"/>
      <w:numFmt w:val="decimal"/>
      <w:lvlText w:val="3.%1"/>
      <w:lvlJc w:val="left"/>
      <w:pPr>
        <w:ind w:left="1080" w:hanging="360"/>
      </w:pPr>
      <w:rPr>
        <w:rFonts w:ascii="Georgia" w:hAnsi="Georgia" w:cs="Georgia" w:hint="default"/>
        <w:b w:val="0"/>
        <w:i w:val="0"/>
        <w:sz w:val="22"/>
      </w:rPr>
    </w:lvl>
    <w:lvl w:ilvl="1" w:tplc="9A9CCDDC">
      <w:start w:val="1"/>
      <w:numFmt w:val="lowerLetter"/>
      <w:lvlText w:val="%2)"/>
      <w:lvlJc w:val="left"/>
      <w:pPr>
        <w:ind w:left="1800" w:hanging="360"/>
      </w:pPr>
      <w:rPr>
        <w:b/>
        <w:bCs w:val="0"/>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CC90653"/>
    <w:multiLevelType w:val="multilevel"/>
    <w:tmpl w:val="8DC40DE8"/>
    <w:lvl w:ilvl="0">
      <w:start w:val="1"/>
      <w:numFmt w:val="decimal"/>
      <w:lvlText w:val="%1.0"/>
      <w:lvlJc w:val="left"/>
      <w:pPr>
        <w:ind w:left="1488" w:hanging="1020"/>
      </w:pPr>
      <w:rPr>
        <w:rFonts w:hint="default"/>
      </w:rPr>
    </w:lvl>
    <w:lvl w:ilvl="1">
      <w:start w:val="1"/>
      <w:numFmt w:val="decimal"/>
      <w:lvlText w:val="%1.%2"/>
      <w:lvlJc w:val="left"/>
      <w:pPr>
        <w:ind w:left="2208" w:hanging="1020"/>
      </w:pPr>
      <w:rPr>
        <w:rFonts w:hint="default"/>
      </w:rPr>
    </w:lvl>
    <w:lvl w:ilvl="2">
      <w:start w:val="1"/>
      <w:numFmt w:val="decimal"/>
      <w:lvlText w:val="%1.%2.%3"/>
      <w:lvlJc w:val="left"/>
      <w:pPr>
        <w:ind w:left="2928" w:hanging="1020"/>
      </w:pPr>
      <w:rPr>
        <w:rFonts w:hint="default"/>
      </w:rPr>
    </w:lvl>
    <w:lvl w:ilvl="3">
      <w:start w:val="1"/>
      <w:numFmt w:val="decimal"/>
      <w:lvlText w:val="%1.%2.%3.%4"/>
      <w:lvlJc w:val="left"/>
      <w:pPr>
        <w:ind w:left="3708" w:hanging="1080"/>
      </w:pPr>
      <w:rPr>
        <w:rFonts w:hint="default"/>
      </w:rPr>
    </w:lvl>
    <w:lvl w:ilvl="4">
      <w:start w:val="1"/>
      <w:numFmt w:val="decimal"/>
      <w:lvlText w:val="%1.%2.%3.%4.%5"/>
      <w:lvlJc w:val="left"/>
      <w:pPr>
        <w:ind w:left="4788" w:hanging="1440"/>
      </w:pPr>
      <w:rPr>
        <w:rFonts w:hint="default"/>
      </w:rPr>
    </w:lvl>
    <w:lvl w:ilvl="5">
      <w:start w:val="1"/>
      <w:numFmt w:val="decimal"/>
      <w:lvlText w:val="%1.%2.%3.%4.%5.%6"/>
      <w:lvlJc w:val="left"/>
      <w:pPr>
        <w:ind w:left="5508" w:hanging="1440"/>
      </w:pPr>
      <w:rPr>
        <w:rFonts w:hint="default"/>
      </w:rPr>
    </w:lvl>
    <w:lvl w:ilvl="6">
      <w:start w:val="1"/>
      <w:numFmt w:val="decimal"/>
      <w:lvlText w:val="%1.%2.%3.%4.%5.%6.%7"/>
      <w:lvlJc w:val="left"/>
      <w:pPr>
        <w:ind w:left="6588" w:hanging="1800"/>
      </w:pPr>
      <w:rPr>
        <w:rFonts w:hint="default"/>
      </w:rPr>
    </w:lvl>
    <w:lvl w:ilvl="7">
      <w:start w:val="1"/>
      <w:numFmt w:val="decimal"/>
      <w:lvlText w:val="%1.%2.%3.%4.%5.%6.%7.%8"/>
      <w:lvlJc w:val="left"/>
      <w:pPr>
        <w:ind w:left="7668" w:hanging="2160"/>
      </w:pPr>
      <w:rPr>
        <w:rFonts w:hint="default"/>
      </w:rPr>
    </w:lvl>
    <w:lvl w:ilvl="8">
      <w:start w:val="1"/>
      <w:numFmt w:val="decimal"/>
      <w:lvlText w:val="%1.%2.%3.%4.%5.%6.%7.%8.%9"/>
      <w:lvlJc w:val="left"/>
      <w:pPr>
        <w:ind w:left="8388" w:hanging="2160"/>
      </w:pPr>
      <w:rPr>
        <w:rFonts w:hint="default"/>
      </w:rPr>
    </w:lvl>
  </w:abstractNum>
  <w:abstractNum w:abstractNumId="8" w15:restartNumberingAfterBreak="0">
    <w:nsid w:val="29DC0540"/>
    <w:multiLevelType w:val="hybridMultilevel"/>
    <w:tmpl w:val="922C2D3E"/>
    <w:lvl w:ilvl="0" w:tplc="0A2C86DA">
      <w:start w:val="1"/>
      <w:numFmt w:val="lowerLetter"/>
      <w:pStyle w:val="REGA4"/>
      <w:lvlText w:val="%1)"/>
      <w:lvlJc w:val="left"/>
      <w:pPr>
        <w:tabs>
          <w:tab w:val="num" w:pos="720"/>
        </w:tabs>
        <w:ind w:left="720" w:hanging="360"/>
      </w:pPr>
      <w:rPr>
        <w:b w:val="0"/>
        <w:bCs/>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19D0EDF"/>
    <w:multiLevelType w:val="hybridMultilevel"/>
    <w:tmpl w:val="5508ACDC"/>
    <w:lvl w:ilvl="0" w:tplc="0D524CCA">
      <w:start w:val="1"/>
      <w:numFmt w:val="bullet"/>
      <w:lvlText w:val=""/>
      <w:lvlJc w:val="left"/>
      <w:pPr>
        <w:ind w:left="1080" w:hanging="360"/>
      </w:pPr>
      <w:rPr>
        <w:rFonts w:ascii="Symbol" w:hAnsi="Symbol" w:hint="default"/>
        <w:b w:val="0"/>
        <w:i w:val="0"/>
        <w:sz w:val="22"/>
      </w:rPr>
    </w:lvl>
    <w:lvl w:ilvl="1" w:tplc="2A320EEE">
      <w:start w:val="1"/>
      <w:numFmt w:val="lowerLetter"/>
      <w:lvlText w:val="%2)"/>
      <w:lvlJc w:val="left"/>
      <w:pPr>
        <w:ind w:left="1800" w:hanging="360"/>
      </w:pPr>
      <w:rPr>
        <w:b/>
        <w:bCs w:val="0"/>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70F78F8"/>
    <w:multiLevelType w:val="hybridMultilevel"/>
    <w:tmpl w:val="25F47374"/>
    <w:lvl w:ilvl="0" w:tplc="0D524CCA">
      <w:start w:val="1"/>
      <w:numFmt w:val="bullet"/>
      <w:lvlText w:val=""/>
      <w:lvlJc w:val="left"/>
      <w:pPr>
        <w:ind w:left="1080" w:hanging="360"/>
      </w:pPr>
      <w:rPr>
        <w:rFonts w:ascii="Symbol" w:hAnsi="Symbol" w:hint="default"/>
        <w:b w:val="0"/>
        <w:i w:val="0"/>
        <w:sz w:val="22"/>
      </w:rPr>
    </w:lvl>
    <w:lvl w:ilvl="1" w:tplc="2A320EEE">
      <w:start w:val="1"/>
      <w:numFmt w:val="lowerLetter"/>
      <w:lvlText w:val="%2)"/>
      <w:lvlJc w:val="left"/>
      <w:pPr>
        <w:ind w:left="1800" w:hanging="360"/>
      </w:pPr>
      <w:rPr>
        <w:b/>
        <w:bCs w:val="0"/>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78F33D8"/>
    <w:multiLevelType w:val="hybridMultilevel"/>
    <w:tmpl w:val="2026CEA8"/>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2486671"/>
    <w:multiLevelType w:val="hybridMultilevel"/>
    <w:tmpl w:val="928EB3EA"/>
    <w:lvl w:ilvl="0" w:tplc="694E71DC">
      <w:start w:val="1"/>
      <w:numFmt w:val="decimal"/>
      <w:lvlText w:val="3.%1"/>
      <w:lvlJc w:val="left"/>
      <w:pPr>
        <w:ind w:left="1080" w:hanging="360"/>
      </w:pPr>
      <w:rPr>
        <w:rFonts w:ascii="Georgia" w:hAnsi="Georgia" w:cs="Georgia"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5D762DB"/>
    <w:multiLevelType w:val="hybridMultilevel"/>
    <w:tmpl w:val="90881BA6"/>
    <w:lvl w:ilvl="0" w:tplc="1EBC9694">
      <w:start w:val="1"/>
      <w:numFmt w:val="decimal"/>
      <w:lvlText w:val="%1.1"/>
      <w:lvlJc w:val="left"/>
      <w:pPr>
        <w:ind w:left="1080" w:hanging="360"/>
      </w:pPr>
      <w:rPr>
        <w:rFonts w:ascii="Georgia" w:hAnsi="Georgia"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5B550A3F"/>
    <w:multiLevelType w:val="multilevel"/>
    <w:tmpl w:val="5B3CA922"/>
    <w:lvl w:ilvl="0">
      <w:start w:val="1"/>
      <w:numFmt w:val="decimal"/>
      <w:pStyle w:val="REGA"/>
      <w:lvlText w:val="%1.0"/>
      <w:lvlJc w:val="left"/>
      <w:pPr>
        <w:ind w:left="1488" w:hanging="1020"/>
      </w:pPr>
      <w:rPr>
        <w:rFonts w:hint="default"/>
        <w:lang w:val="en-GB"/>
      </w:rPr>
    </w:lvl>
    <w:lvl w:ilvl="1">
      <w:start w:val="1"/>
      <w:numFmt w:val="decimal"/>
      <w:lvlText w:val="%1.%2"/>
      <w:lvlJc w:val="left"/>
      <w:pPr>
        <w:ind w:left="2208" w:hanging="1020"/>
      </w:pPr>
      <w:rPr>
        <w:rFonts w:hint="default"/>
      </w:rPr>
    </w:lvl>
    <w:lvl w:ilvl="2">
      <w:start w:val="1"/>
      <w:numFmt w:val="decimal"/>
      <w:lvlText w:val="%1.%2.%3"/>
      <w:lvlJc w:val="left"/>
      <w:pPr>
        <w:ind w:left="2928" w:hanging="1020"/>
      </w:pPr>
      <w:rPr>
        <w:rFonts w:hint="default"/>
      </w:rPr>
    </w:lvl>
    <w:lvl w:ilvl="3">
      <w:start w:val="1"/>
      <w:numFmt w:val="decimal"/>
      <w:lvlText w:val="%1.%2.%3.%4"/>
      <w:lvlJc w:val="left"/>
      <w:pPr>
        <w:ind w:left="3708" w:hanging="1080"/>
      </w:pPr>
      <w:rPr>
        <w:rFonts w:hint="default"/>
      </w:rPr>
    </w:lvl>
    <w:lvl w:ilvl="4">
      <w:start w:val="1"/>
      <w:numFmt w:val="decimal"/>
      <w:lvlText w:val="%1.%2.%3.%4.%5"/>
      <w:lvlJc w:val="left"/>
      <w:pPr>
        <w:ind w:left="4788" w:hanging="1440"/>
      </w:pPr>
      <w:rPr>
        <w:rFonts w:hint="default"/>
      </w:rPr>
    </w:lvl>
    <w:lvl w:ilvl="5">
      <w:start w:val="1"/>
      <w:numFmt w:val="decimal"/>
      <w:lvlText w:val="%1.%2.%3.%4.%5.%6"/>
      <w:lvlJc w:val="left"/>
      <w:pPr>
        <w:ind w:left="5508" w:hanging="1440"/>
      </w:pPr>
      <w:rPr>
        <w:rFonts w:hint="default"/>
      </w:rPr>
    </w:lvl>
    <w:lvl w:ilvl="6">
      <w:start w:val="1"/>
      <w:numFmt w:val="decimal"/>
      <w:lvlText w:val="%1.%2.%3.%4.%5.%6.%7"/>
      <w:lvlJc w:val="left"/>
      <w:pPr>
        <w:ind w:left="6588" w:hanging="1800"/>
      </w:pPr>
      <w:rPr>
        <w:rFonts w:hint="default"/>
      </w:rPr>
    </w:lvl>
    <w:lvl w:ilvl="7">
      <w:start w:val="1"/>
      <w:numFmt w:val="decimal"/>
      <w:lvlText w:val="%1.%2.%3.%4.%5.%6.%7.%8"/>
      <w:lvlJc w:val="left"/>
      <w:pPr>
        <w:ind w:left="7668" w:hanging="2160"/>
      </w:pPr>
      <w:rPr>
        <w:rFonts w:hint="default"/>
      </w:rPr>
    </w:lvl>
    <w:lvl w:ilvl="8">
      <w:start w:val="1"/>
      <w:numFmt w:val="decimal"/>
      <w:lvlText w:val="%1.%2.%3.%4.%5.%6.%7.%8.%9"/>
      <w:lvlJc w:val="left"/>
      <w:pPr>
        <w:ind w:left="8388" w:hanging="2160"/>
      </w:pPr>
      <w:rPr>
        <w:rFonts w:hint="default"/>
      </w:rPr>
    </w:lvl>
  </w:abstractNum>
  <w:abstractNum w:abstractNumId="15" w15:restartNumberingAfterBreak="0">
    <w:nsid w:val="5D3E65C2"/>
    <w:multiLevelType w:val="hybridMultilevel"/>
    <w:tmpl w:val="7A58F756"/>
    <w:lvl w:ilvl="0" w:tplc="D2E43668">
      <w:start w:val="1"/>
      <w:numFmt w:val="decimal"/>
      <w:pStyle w:val="REGA3"/>
      <w:lvlText w:val="3.%1"/>
      <w:lvlJc w:val="left"/>
      <w:pPr>
        <w:ind w:left="1080" w:hanging="360"/>
      </w:pPr>
      <w:rPr>
        <w:rFonts w:ascii="Georgia" w:hAnsi="Georgia" w:cs="Georgia" w:hint="default"/>
        <w:b w:val="0"/>
        <w:i w:val="0"/>
        <w:sz w:val="22"/>
      </w:rPr>
    </w:lvl>
    <w:lvl w:ilvl="1" w:tplc="2A320EEE">
      <w:start w:val="1"/>
      <w:numFmt w:val="lowerLetter"/>
      <w:lvlText w:val="%2)"/>
      <w:lvlJc w:val="left"/>
      <w:pPr>
        <w:ind w:left="1800" w:hanging="360"/>
      </w:pPr>
      <w:rPr>
        <w:b/>
        <w:bCs w:val="0"/>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76F73FDA"/>
    <w:multiLevelType w:val="hybridMultilevel"/>
    <w:tmpl w:val="AFF626A6"/>
    <w:lvl w:ilvl="0" w:tplc="0D524CCA">
      <w:start w:val="1"/>
      <w:numFmt w:val="bullet"/>
      <w:lvlText w:val=""/>
      <w:lvlJc w:val="left"/>
      <w:pPr>
        <w:ind w:left="1080" w:hanging="360"/>
      </w:pPr>
      <w:rPr>
        <w:rFonts w:ascii="Symbol" w:hAnsi="Symbol" w:hint="default"/>
        <w:b w:val="0"/>
        <w:i w:val="0"/>
        <w:sz w:val="22"/>
      </w:rPr>
    </w:lvl>
    <w:lvl w:ilvl="1" w:tplc="2A320EEE">
      <w:start w:val="1"/>
      <w:numFmt w:val="lowerLetter"/>
      <w:lvlText w:val="%2)"/>
      <w:lvlJc w:val="left"/>
      <w:pPr>
        <w:ind w:left="1800" w:hanging="360"/>
      </w:pPr>
      <w:rPr>
        <w:b/>
        <w:bCs w:val="0"/>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7E1A0C44"/>
    <w:multiLevelType w:val="hybridMultilevel"/>
    <w:tmpl w:val="53CC286A"/>
    <w:lvl w:ilvl="0" w:tplc="B76AF282">
      <w:start w:val="1"/>
      <w:numFmt w:val="bullet"/>
      <w:pStyle w:val="REGA5"/>
      <w:lvlText w:val=""/>
      <w:lvlJc w:val="left"/>
      <w:pPr>
        <w:ind w:left="1620" w:hanging="360"/>
      </w:pPr>
      <w:rPr>
        <w:rFonts w:ascii="Symbol" w:hAnsi="Symbol" w:hint="default"/>
      </w:rPr>
    </w:lvl>
    <w:lvl w:ilvl="1" w:tplc="08090003" w:tentative="1">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num w:numId="1">
    <w:abstractNumId w:val="7"/>
  </w:num>
  <w:num w:numId="2">
    <w:abstractNumId w:val="2"/>
  </w:num>
  <w:num w:numId="3">
    <w:abstractNumId w:val="14"/>
  </w:num>
  <w:num w:numId="4">
    <w:abstractNumId w:val="11"/>
  </w:num>
  <w:num w:numId="5">
    <w:abstractNumId w:val="8"/>
  </w:num>
  <w:num w:numId="6">
    <w:abstractNumId w:val="13"/>
  </w:num>
  <w:num w:numId="7">
    <w:abstractNumId w:val="12"/>
  </w:num>
  <w:num w:numId="8">
    <w:abstractNumId w:val="15"/>
  </w:num>
  <w:num w:numId="9">
    <w:abstractNumId w:val="3"/>
  </w:num>
  <w:num w:numId="10">
    <w:abstractNumId w:val="8"/>
    <w:lvlOverride w:ilvl="0">
      <w:startOverride w:val="1"/>
    </w:lvlOverride>
  </w:num>
  <w:num w:numId="11">
    <w:abstractNumId w:val="8"/>
    <w:lvlOverride w:ilvl="0">
      <w:startOverride w:val="1"/>
    </w:lvlOverride>
  </w:num>
  <w:num w:numId="12">
    <w:abstractNumId w:val="17"/>
  </w:num>
  <w:num w:numId="13">
    <w:abstractNumId w:val="8"/>
    <w:lvlOverride w:ilvl="0">
      <w:startOverride w:val="1"/>
    </w:lvlOverride>
  </w:num>
  <w:num w:numId="14">
    <w:abstractNumId w:val="6"/>
  </w:num>
  <w:num w:numId="15">
    <w:abstractNumId w:val="15"/>
  </w:num>
  <w:num w:numId="16">
    <w:abstractNumId w:val="4"/>
  </w:num>
  <w:num w:numId="17">
    <w:abstractNumId w:val="1"/>
  </w:num>
  <w:num w:numId="18">
    <w:abstractNumId w:val="9"/>
  </w:num>
  <w:num w:numId="19">
    <w:abstractNumId w:val="0"/>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6"/>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CA8"/>
    <w:rsid w:val="00000A0F"/>
    <w:rsid w:val="0003706F"/>
    <w:rsid w:val="00040320"/>
    <w:rsid w:val="00045BFC"/>
    <w:rsid w:val="00052E98"/>
    <w:rsid w:val="0007035C"/>
    <w:rsid w:val="0007097B"/>
    <w:rsid w:val="00074CE7"/>
    <w:rsid w:val="00075013"/>
    <w:rsid w:val="0008256C"/>
    <w:rsid w:val="00083DE7"/>
    <w:rsid w:val="00094B34"/>
    <w:rsid w:val="00097CE0"/>
    <w:rsid w:val="000A373D"/>
    <w:rsid w:val="000A3885"/>
    <w:rsid w:val="000B16C1"/>
    <w:rsid w:val="000B2D64"/>
    <w:rsid w:val="000B2FDF"/>
    <w:rsid w:val="000B59FF"/>
    <w:rsid w:val="000C71BC"/>
    <w:rsid w:val="000D330A"/>
    <w:rsid w:val="000D7D62"/>
    <w:rsid w:val="000E0110"/>
    <w:rsid w:val="000E0A9C"/>
    <w:rsid w:val="000E0F98"/>
    <w:rsid w:val="00102CEE"/>
    <w:rsid w:val="00103F77"/>
    <w:rsid w:val="0010790F"/>
    <w:rsid w:val="0011683D"/>
    <w:rsid w:val="00125847"/>
    <w:rsid w:val="00127A2A"/>
    <w:rsid w:val="0013074D"/>
    <w:rsid w:val="00132131"/>
    <w:rsid w:val="001537D6"/>
    <w:rsid w:val="001709F4"/>
    <w:rsid w:val="001714C5"/>
    <w:rsid w:val="00196AA8"/>
    <w:rsid w:val="001B073F"/>
    <w:rsid w:val="001D5FB8"/>
    <w:rsid w:val="001E536A"/>
    <w:rsid w:val="001F0294"/>
    <w:rsid w:val="001F2045"/>
    <w:rsid w:val="001F3A6A"/>
    <w:rsid w:val="00212BC6"/>
    <w:rsid w:val="002134C0"/>
    <w:rsid w:val="00213CA8"/>
    <w:rsid w:val="00216B3D"/>
    <w:rsid w:val="00230152"/>
    <w:rsid w:val="00234CF8"/>
    <w:rsid w:val="002362DA"/>
    <w:rsid w:val="002510B4"/>
    <w:rsid w:val="002522DF"/>
    <w:rsid w:val="00262526"/>
    <w:rsid w:val="00262ED2"/>
    <w:rsid w:val="00282547"/>
    <w:rsid w:val="002842D8"/>
    <w:rsid w:val="002B0AB0"/>
    <w:rsid w:val="002C54CA"/>
    <w:rsid w:val="002E03ED"/>
    <w:rsid w:val="00302311"/>
    <w:rsid w:val="0031363C"/>
    <w:rsid w:val="00331656"/>
    <w:rsid w:val="00336DEC"/>
    <w:rsid w:val="00340B3D"/>
    <w:rsid w:val="003615F9"/>
    <w:rsid w:val="00362A74"/>
    <w:rsid w:val="00362B26"/>
    <w:rsid w:val="0037751A"/>
    <w:rsid w:val="00397529"/>
    <w:rsid w:val="003A6C6A"/>
    <w:rsid w:val="003E48F8"/>
    <w:rsid w:val="003F0BF3"/>
    <w:rsid w:val="003F19DC"/>
    <w:rsid w:val="003F355B"/>
    <w:rsid w:val="004110A0"/>
    <w:rsid w:val="0041287B"/>
    <w:rsid w:val="00421510"/>
    <w:rsid w:val="0042163D"/>
    <w:rsid w:val="004272ED"/>
    <w:rsid w:val="00441603"/>
    <w:rsid w:val="00441629"/>
    <w:rsid w:val="00444ED7"/>
    <w:rsid w:val="00454C4C"/>
    <w:rsid w:val="0047691C"/>
    <w:rsid w:val="00487286"/>
    <w:rsid w:val="00497379"/>
    <w:rsid w:val="004A0727"/>
    <w:rsid w:val="004A1F6E"/>
    <w:rsid w:val="004A2919"/>
    <w:rsid w:val="004B14EB"/>
    <w:rsid w:val="004B3F2F"/>
    <w:rsid w:val="004C3A87"/>
    <w:rsid w:val="004D11AC"/>
    <w:rsid w:val="004D1E6E"/>
    <w:rsid w:val="004F722A"/>
    <w:rsid w:val="00504AF7"/>
    <w:rsid w:val="005125F8"/>
    <w:rsid w:val="00513A22"/>
    <w:rsid w:val="00515DCF"/>
    <w:rsid w:val="00522C65"/>
    <w:rsid w:val="0053002F"/>
    <w:rsid w:val="00533E8B"/>
    <w:rsid w:val="00535E7F"/>
    <w:rsid w:val="005710DC"/>
    <w:rsid w:val="00571E91"/>
    <w:rsid w:val="00575C20"/>
    <w:rsid w:val="005877FC"/>
    <w:rsid w:val="00587FBD"/>
    <w:rsid w:val="00592A67"/>
    <w:rsid w:val="005B4A21"/>
    <w:rsid w:val="005B58C9"/>
    <w:rsid w:val="005D6537"/>
    <w:rsid w:val="00605106"/>
    <w:rsid w:val="0063236E"/>
    <w:rsid w:val="00646C01"/>
    <w:rsid w:val="00652668"/>
    <w:rsid w:val="00654298"/>
    <w:rsid w:val="006544F5"/>
    <w:rsid w:val="0065708A"/>
    <w:rsid w:val="006740D1"/>
    <w:rsid w:val="00675A13"/>
    <w:rsid w:val="00686956"/>
    <w:rsid w:val="00686D95"/>
    <w:rsid w:val="006901E1"/>
    <w:rsid w:val="006948BC"/>
    <w:rsid w:val="006978DC"/>
    <w:rsid w:val="006A047D"/>
    <w:rsid w:val="006A2F0A"/>
    <w:rsid w:val="006B44D8"/>
    <w:rsid w:val="006B5B89"/>
    <w:rsid w:val="006E1E91"/>
    <w:rsid w:val="006F34F9"/>
    <w:rsid w:val="006F3871"/>
    <w:rsid w:val="00705B5B"/>
    <w:rsid w:val="007129FD"/>
    <w:rsid w:val="00717FBB"/>
    <w:rsid w:val="0072113C"/>
    <w:rsid w:val="00730937"/>
    <w:rsid w:val="00732C92"/>
    <w:rsid w:val="00741977"/>
    <w:rsid w:val="0076600E"/>
    <w:rsid w:val="007671B7"/>
    <w:rsid w:val="00770035"/>
    <w:rsid w:val="0077417D"/>
    <w:rsid w:val="00774818"/>
    <w:rsid w:val="00777FE3"/>
    <w:rsid w:val="007806F7"/>
    <w:rsid w:val="00785FF3"/>
    <w:rsid w:val="007861EB"/>
    <w:rsid w:val="0079213B"/>
    <w:rsid w:val="007A093F"/>
    <w:rsid w:val="007B3446"/>
    <w:rsid w:val="007B520C"/>
    <w:rsid w:val="007C6D21"/>
    <w:rsid w:val="007F2E15"/>
    <w:rsid w:val="007F3C30"/>
    <w:rsid w:val="00807DA7"/>
    <w:rsid w:val="008316F0"/>
    <w:rsid w:val="00841367"/>
    <w:rsid w:val="00866782"/>
    <w:rsid w:val="008A7190"/>
    <w:rsid w:val="008B5BE2"/>
    <w:rsid w:val="008B5C33"/>
    <w:rsid w:val="008C2B9E"/>
    <w:rsid w:val="008C51AC"/>
    <w:rsid w:val="008E2A46"/>
    <w:rsid w:val="008E7DD7"/>
    <w:rsid w:val="008F552F"/>
    <w:rsid w:val="008F665E"/>
    <w:rsid w:val="008F697C"/>
    <w:rsid w:val="008F772B"/>
    <w:rsid w:val="00904698"/>
    <w:rsid w:val="0092649E"/>
    <w:rsid w:val="00932492"/>
    <w:rsid w:val="00940E2F"/>
    <w:rsid w:val="0094764C"/>
    <w:rsid w:val="0097096C"/>
    <w:rsid w:val="0097119E"/>
    <w:rsid w:val="00977024"/>
    <w:rsid w:val="00983383"/>
    <w:rsid w:val="00984AEE"/>
    <w:rsid w:val="00991F01"/>
    <w:rsid w:val="009A5AE1"/>
    <w:rsid w:val="009A7CEB"/>
    <w:rsid w:val="009B3CDE"/>
    <w:rsid w:val="009B7C6E"/>
    <w:rsid w:val="009C0096"/>
    <w:rsid w:val="009C2B34"/>
    <w:rsid w:val="009C3075"/>
    <w:rsid w:val="009C6ABF"/>
    <w:rsid w:val="009E1733"/>
    <w:rsid w:val="009F453D"/>
    <w:rsid w:val="00A07762"/>
    <w:rsid w:val="00A24D7C"/>
    <w:rsid w:val="00A32FB4"/>
    <w:rsid w:val="00A36FE2"/>
    <w:rsid w:val="00A37F39"/>
    <w:rsid w:val="00A515AD"/>
    <w:rsid w:val="00A516FB"/>
    <w:rsid w:val="00A658E4"/>
    <w:rsid w:val="00A65F06"/>
    <w:rsid w:val="00A82B6D"/>
    <w:rsid w:val="00A867D2"/>
    <w:rsid w:val="00A86D6F"/>
    <w:rsid w:val="00AA1F7E"/>
    <w:rsid w:val="00AA2607"/>
    <w:rsid w:val="00AA6DAD"/>
    <w:rsid w:val="00AD4D70"/>
    <w:rsid w:val="00AE2A3C"/>
    <w:rsid w:val="00AE38FF"/>
    <w:rsid w:val="00AE512A"/>
    <w:rsid w:val="00AE5FC7"/>
    <w:rsid w:val="00AF7412"/>
    <w:rsid w:val="00B01927"/>
    <w:rsid w:val="00B11C01"/>
    <w:rsid w:val="00B306C7"/>
    <w:rsid w:val="00B32BF5"/>
    <w:rsid w:val="00B40BC0"/>
    <w:rsid w:val="00B42E1C"/>
    <w:rsid w:val="00B53D35"/>
    <w:rsid w:val="00B56261"/>
    <w:rsid w:val="00B56D96"/>
    <w:rsid w:val="00B81C7A"/>
    <w:rsid w:val="00B93DF4"/>
    <w:rsid w:val="00BA1A8F"/>
    <w:rsid w:val="00BB2A33"/>
    <w:rsid w:val="00BB313A"/>
    <w:rsid w:val="00BE0D4B"/>
    <w:rsid w:val="00BF5312"/>
    <w:rsid w:val="00C33229"/>
    <w:rsid w:val="00C457E1"/>
    <w:rsid w:val="00C666B0"/>
    <w:rsid w:val="00CB1C9B"/>
    <w:rsid w:val="00CB4D5E"/>
    <w:rsid w:val="00CB5F0E"/>
    <w:rsid w:val="00CB6460"/>
    <w:rsid w:val="00CD6C93"/>
    <w:rsid w:val="00CD7580"/>
    <w:rsid w:val="00CD7708"/>
    <w:rsid w:val="00CE0A78"/>
    <w:rsid w:val="00CF3EAA"/>
    <w:rsid w:val="00CF601C"/>
    <w:rsid w:val="00CF6BBB"/>
    <w:rsid w:val="00D001B1"/>
    <w:rsid w:val="00D22ED0"/>
    <w:rsid w:val="00D26BEF"/>
    <w:rsid w:val="00D32565"/>
    <w:rsid w:val="00D4027D"/>
    <w:rsid w:val="00D51686"/>
    <w:rsid w:val="00D612CB"/>
    <w:rsid w:val="00D63FF8"/>
    <w:rsid w:val="00D675B0"/>
    <w:rsid w:val="00D71280"/>
    <w:rsid w:val="00D8026D"/>
    <w:rsid w:val="00D81302"/>
    <w:rsid w:val="00D85940"/>
    <w:rsid w:val="00D85FC6"/>
    <w:rsid w:val="00DA2CF2"/>
    <w:rsid w:val="00DA36F1"/>
    <w:rsid w:val="00DD55DF"/>
    <w:rsid w:val="00DF01D4"/>
    <w:rsid w:val="00DF15D2"/>
    <w:rsid w:val="00DF6103"/>
    <w:rsid w:val="00E07F33"/>
    <w:rsid w:val="00E14DCF"/>
    <w:rsid w:val="00E336CB"/>
    <w:rsid w:val="00E42577"/>
    <w:rsid w:val="00E4257C"/>
    <w:rsid w:val="00E44783"/>
    <w:rsid w:val="00E61668"/>
    <w:rsid w:val="00E75B43"/>
    <w:rsid w:val="00E85A3B"/>
    <w:rsid w:val="00EA1A01"/>
    <w:rsid w:val="00EA2E78"/>
    <w:rsid w:val="00EC2175"/>
    <w:rsid w:val="00EC3A90"/>
    <w:rsid w:val="00EE100F"/>
    <w:rsid w:val="00EF4E99"/>
    <w:rsid w:val="00F154EC"/>
    <w:rsid w:val="00F247BB"/>
    <w:rsid w:val="00F45700"/>
    <w:rsid w:val="00F57A0C"/>
    <w:rsid w:val="00F73B2A"/>
    <w:rsid w:val="00F87444"/>
    <w:rsid w:val="00F9305A"/>
    <w:rsid w:val="00F951D3"/>
    <w:rsid w:val="00FA031E"/>
    <w:rsid w:val="00FA7BAC"/>
    <w:rsid w:val="00FC3D1B"/>
    <w:rsid w:val="00FC74D1"/>
    <w:rsid w:val="00FD4D68"/>
    <w:rsid w:val="00FE5FD3"/>
    <w:rsid w:val="00FE64C5"/>
    <w:rsid w:val="00FE6ED2"/>
    <w:rsid w:val="00FF5ADC"/>
    <w:rsid w:val="00FF76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20E3CD"/>
  <w15:chartTrackingRefBased/>
  <w15:docId w15:val="{ADC0633E-A92E-4BD8-888F-FCCA88FA0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C01"/>
    <w:pPr>
      <w:bidi/>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65708A"/>
    <w:pPr>
      <w:keepNext/>
      <w:keepLines/>
      <w:bidi w:val="0"/>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8254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13CA8"/>
    <w:pPr>
      <w:tabs>
        <w:tab w:val="center" w:pos="4680"/>
        <w:tab w:val="right" w:pos="9360"/>
      </w:tabs>
    </w:pPr>
  </w:style>
  <w:style w:type="character" w:customStyle="1" w:styleId="HeaderChar">
    <w:name w:val="Header Char"/>
    <w:basedOn w:val="DefaultParagraphFont"/>
    <w:link w:val="Header"/>
    <w:rsid w:val="00213CA8"/>
  </w:style>
  <w:style w:type="paragraph" w:styleId="Footer">
    <w:name w:val="footer"/>
    <w:basedOn w:val="Normal"/>
    <w:link w:val="FooterChar"/>
    <w:uiPriority w:val="99"/>
    <w:unhideWhenUsed/>
    <w:rsid w:val="00213CA8"/>
    <w:pPr>
      <w:tabs>
        <w:tab w:val="center" w:pos="4680"/>
        <w:tab w:val="right" w:pos="9360"/>
      </w:tabs>
    </w:pPr>
  </w:style>
  <w:style w:type="character" w:customStyle="1" w:styleId="FooterChar">
    <w:name w:val="Footer Char"/>
    <w:basedOn w:val="DefaultParagraphFont"/>
    <w:link w:val="Footer"/>
    <w:uiPriority w:val="99"/>
    <w:rsid w:val="00213CA8"/>
  </w:style>
  <w:style w:type="paragraph" w:styleId="ListParagraph">
    <w:name w:val="List Paragraph"/>
    <w:basedOn w:val="Normal"/>
    <w:link w:val="ListParagraphChar"/>
    <w:uiPriority w:val="34"/>
    <w:qFormat/>
    <w:rsid w:val="00213CA8"/>
    <w:pPr>
      <w:ind w:left="720"/>
      <w:contextualSpacing/>
    </w:pPr>
  </w:style>
  <w:style w:type="character" w:customStyle="1" w:styleId="Heading3Char">
    <w:name w:val="Heading 3 Char"/>
    <w:basedOn w:val="DefaultParagraphFont"/>
    <w:link w:val="Heading3"/>
    <w:rsid w:val="00282547"/>
    <w:rPr>
      <w:rFonts w:asciiTheme="majorHAnsi" w:eastAsiaTheme="majorEastAsia" w:hAnsiTheme="majorHAnsi" w:cstheme="majorBidi"/>
      <w:color w:val="1F4D78" w:themeColor="accent1" w:themeShade="7F"/>
      <w:sz w:val="24"/>
      <w:szCs w:val="24"/>
    </w:rPr>
  </w:style>
  <w:style w:type="paragraph" w:customStyle="1" w:styleId="REGA">
    <w:name w:val="REGA !"/>
    <w:basedOn w:val="Header"/>
    <w:link w:val="REGAChar"/>
    <w:qFormat/>
    <w:rsid w:val="00230152"/>
    <w:pPr>
      <w:numPr>
        <w:numId w:val="3"/>
      </w:numPr>
      <w:bidi w:val="0"/>
      <w:spacing w:line="360" w:lineRule="auto"/>
      <w:ind w:left="1440" w:right="468" w:hanging="1080"/>
    </w:pPr>
    <w:rPr>
      <w:rFonts w:ascii="Georgia" w:hAnsi="Georgia" w:cs="Sakkal Majalla"/>
      <w:b/>
      <w:color w:val="000000"/>
      <w:sz w:val="30"/>
      <w:szCs w:val="30"/>
    </w:rPr>
  </w:style>
  <w:style w:type="paragraph" w:customStyle="1" w:styleId="REGA2">
    <w:name w:val="REGA 2"/>
    <w:basedOn w:val="Normal"/>
    <w:link w:val="REGA2Char"/>
    <w:qFormat/>
    <w:rsid w:val="00230152"/>
    <w:pPr>
      <w:keepNext/>
      <w:keepLines/>
      <w:numPr>
        <w:ilvl w:val="1"/>
      </w:numPr>
      <w:bidi w:val="0"/>
      <w:spacing w:before="120" w:after="120" w:line="360" w:lineRule="auto"/>
      <w:ind w:left="360"/>
      <w:jc w:val="both"/>
    </w:pPr>
    <w:rPr>
      <w:rFonts w:ascii="Georgia" w:hAnsi="Georgia" w:cs="Calibri"/>
      <w:bCs/>
      <w:lang w:val="en-GB"/>
    </w:rPr>
  </w:style>
  <w:style w:type="character" w:customStyle="1" w:styleId="REGAChar">
    <w:name w:val="REGA ! Char"/>
    <w:basedOn w:val="HeaderChar"/>
    <w:link w:val="REGA"/>
    <w:rsid w:val="00230152"/>
    <w:rPr>
      <w:rFonts w:ascii="Georgia" w:eastAsia="Times New Roman" w:hAnsi="Georgia" w:cs="Sakkal Majalla"/>
      <w:b/>
      <w:color w:val="000000"/>
      <w:sz w:val="30"/>
      <w:szCs w:val="30"/>
    </w:rPr>
  </w:style>
  <w:style w:type="paragraph" w:customStyle="1" w:styleId="REGA4">
    <w:name w:val="REGA 4"/>
    <w:basedOn w:val="Normal"/>
    <w:link w:val="REGA4Char"/>
    <w:qFormat/>
    <w:rsid w:val="00230152"/>
    <w:pPr>
      <w:numPr>
        <w:numId w:val="5"/>
      </w:numPr>
      <w:tabs>
        <w:tab w:val="clear" w:pos="720"/>
        <w:tab w:val="num" w:pos="360"/>
      </w:tabs>
      <w:bidi w:val="0"/>
      <w:spacing w:before="120" w:after="120" w:line="360" w:lineRule="auto"/>
      <w:ind w:left="1260"/>
      <w:jc w:val="both"/>
    </w:pPr>
    <w:rPr>
      <w:rFonts w:ascii="Georgia" w:eastAsia="Calibri" w:hAnsi="Georgia" w:cs="Arial"/>
    </w:rPr>
  </w:style>
  <w:style w:type="character" w:customStyle="1" w:styleId="REGA2Char">
    <w:name w:val="REGA 2 Char"/>
    <w:basedOn w:val="DefaultParagraphFont"/>
    <w:link w:val="REGA2"/>
    <w:rsid w:val="00230152"/>
    <w:rPr>
      <w:rFonts w:ascii="Georgia" w:eastAsia="Times New Roman" w:hAnsi="Georgia" w:cs="Calibri"/>
      <w:bCs/>
      <w:sz w:val="24"/>
      <w:szCs w:val="24"/>
      <w:lang w:val="en-GB"/>
    </w:rPr>
  </w:style>
  <w:style w:type="paragraph" w:customStyle="1" w:styleId="REGA3">
    <w:name w:val="REGA 3"/>
    <w:basedOn w:val="REGA2"/>
    <w:link w:val="REGA3Char"/>
    <w:qFormat/>
    <w:rsid w:val="0007097B"/>
    <w:pPr>
      <w:keepNext w:val="0"/>
      <w:keepLines w:val="0"/>
      <w:numPr>
        <w:ilvl w:val="0"/>
        <w:numId w:val="8"/>
      </w:numPr>
      <w:ind w:hanging="540"/>
    </w:pPr>
  </w:style>
  <w:style w:type="character" w:customStyle="1" w:styleId="REGA4Char">
    <w:name w:val="REGA 4 Char"/>
    <w:basedOn w:val="DefaultParagraphFont"/>
    <w:link w:val="REGA4"/>
    <w:rsid w:val="00230152"/>
    <w:rPr>
      <w:rFonts w:ascii="Georgia" w:eastAsia="Calibri" w:hAnsi="Georgia" w:cs="Arial"/>
      <w:sz w:val="24"/>
      <w:szCs w:val="24"/>
    </w:rPr>
  </w:style>
  <w:style w:type="paragraph" w:customStyle="1" w:styleId="REGA5">
    <w:name w:val="REGA 5"/>
    <w:basedOn w:val="REGA4"/>
    <w:link w:val="REGA5Char"/>
    <w:qFormat/>
    <w:rsid w:val="00D675B0"/>
    <w:pPr>
      <w:numPr>
        <w:numId w:val="12"/>
      </w:numPr>
      <w:ind w:left="1260"/>
    </w:pPr>
  </w:style>
  <w:style w:type="character" w:customStyle="1" w:styleId="REGA3Char">
    <w:name w:val="REGA 3 Char"/>
    <w:basedOn w:val="REGA2Char"/>
    <w:link w:val="REGA3"/>
    <w:rsid w:val="0007097B"/>
    <w:rPr>
      <w:rFonts w:ascii="Georgia" w:eastAsia="Times New Roman" w:hAnsi="Georgia" w:cs="Calibri"/>
      <w:bCs/>
      <w:sz w:val="24"/>
      <w:szCs w:val="24"/>
      <w:lang w:val="en-GB"/>
    </w:rPr>
  </w:style>
  <w:style w:type="character" w:customStyle="1" w:styleId="REGA5Char">
    <w:name w:val="REGA 5 Char"/>
    <w:basedOn w:val="REGA4Char"/>
    <w:link w:val="REGA5"/>
    <w:rsid w:val="00D675B0"/>
    <w:rPr>
      <w:rFonts w:ascii="Georgia" w:eastAsia="Calibri" w:hAnsi="Georgia" w:cs="Arial"/>
      <w:sz w:val="24"/>
      <w:szCs w:val="24"/>
    </w:rPr>
  </w:style>
  <w:style w:type="character" w:styleId="PlaceholderText">
    <w:name w:val="Placeholder Text"/>
    <w:basedOn w:val="DefaultParagraphFont"/>
    <w:uiPriority w:val="99"/>
    <w:semiHidden/>
    <w:rsid w:val="00000A0F"/>
    <w:rPr>
      <w:color w:val="808080"/>
    </w:rPr>
  </w:style>
  <w:style w:type="character" w:customStyle="1" w:styleId="ListParagraphChar">
    <w:name w:val="List Paragraph Char"/>
    <w:basedOn w:val="DefaultParagraphFont"/>
    <w:link w:val="ListParagraph"/>
    <w:uiPriority w:val="34"/>
    <w:rsid w:val="00125847"/>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5708A"/>
    <w:rPr>
      <w:rFonts w:asciiTheme="majorHAnsi" w:eastAsiaTheme="majorEastAsia" w:hAnsiTheme="majorHAnsi" w:cstheme="majorBidi"/>
      <w:color w:val="2E74B5" w:themeColor="accent1" w:themeShade="BF"/>
      <w:sz w:val="26"/>
      <w:szCs w:val="26"/>
    </w:rPr>
  </w:style>
  <w:style w:type="character" w:customStyle="1" w:styleId="OrpicDefinitionsFonttermChar">
    <w:name w:val="Orpic Definitions Font (term) Char"/>
    <w:basedOn w:val="DefaultParagraphFont"/>
    <w:link w:val="OrpicDefinitionsFontterm"/>
    <w:locked/>
    <w:rsid w:val="0065708A"/>
    <w:rPr>
      <w:b/>
      <w:bCs/>
      <w:sz w:val="20"/>
      <w:szCs w:val="20"/>
      <w:lang w:bidi="ar-OM"/>
    </w:rPr>
  </w:style>
  <w:style w:type="paragraph" w:customStyle="1" w:styleId="OrpicDefinitionsFontterm">
    <w:name w:val="Orpic Definitions Font (term)"/>
    <w:basedOn w:val="ListParagraph"/>
    <w:link w:val="OrpicDefinitionsFonttermChar"/>
    <w:rsid w:val="0065708A"/>
    <w:pPr>
      <w:bidi w:val="0"/>
      <w:spacing w:before="120" w:after="120" w:line="300" w:lineRule="exact"/>
      <w:ind w:hanging="360"/>
      <w:contextualSpacing w:val="0"/>
    </w:pPr>
    <w:rPr>
      <w:rFonts w:asciiTheme="minorHAnsi" w:eastAsiaTheme="minorHAnsi" w:hAnsiTheme="minorHAnsi" w:cstheme="minorBidi"/>
      <w:b/>
      <w:bCs/>
      <w:sz w:val="20"/>
      <w:szCs w:val="20"/>
      <w:lang w:bidi="ar-OM"/>
    </w:rPr>
  </w:style>
  <w:style w:type="character" w:customStyle="1" w:styleId="OrpicDefinitionsFontdefinitionChar">
    <w:name w:val="Orpic Definitions Font (definition) Char"/>
    <w:basedOn w:val="OrpicDefinitionsFonttermChar"/>
    <w:link w:val="OrpicDefinitionsFontdefinition"/>
    <w:locked/>
    <w:rsid w:val="0065708A"/>
    <w:rPr>
      <w:b/>
      <w:bCs/>
      <w:sz w:val="20"/>
      <w:szCs w:val="20"/>
      <w:lang w:bidi="ar-OM"/>
    </w:rPr>
  </w:style>
  <w:style w:type="paragraph" w:customStyle="1" w:styleId="OrpicDefinitionsFontdefinition">
    <w:name w:val="Orpic Definitions Font (definition)"/>
    <w:basedOn w:val="OrpicDefinitionsFontterm"/>
    <w:link w:val="OrpicDefinitionsFontdefinitionChar"/>
    <w:rsid w:val="006570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vsdx"/></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38ABB-4F88-4F42-8219-A9F36B640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Alagil</dc:creator>
  <cp:keywords/>
  <dc:description/>
  <cp:lastModifiedBy>Walid ElSawy</cp:lastModifiedBy>
  <cp:revision>8</cp:revision>
  <dcterms:created xsi:type="dcterms:W3CDTF">2019-11-13T10:09:00Z</dcterms:created>
  <dcterms:modified xsi:type="dcterms:W3CDTF">2019-11-26T11:36:00Z</dcterms:modified>
</cp:coreProperties>
</file>