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806CA0" w:rsidP="005125F8">
      <w:pPr>
        <w:bidi w:val="0"/>
        <w:rPr>
          <w:rFonts w:ascii="Georgia" w:hAnsi="Georgia"/>
        </w:rPr>
      </w:pPr>
      <w:r>
        <w:rPr>
          <w:rFonts w:ascii="Georgia" w:hAnsi="Georgia"/>
        </w:rPr>
        <w:softHyphen/>
      </w: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0A3EE0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proofErr w:type="spellStart"/>
      <w:r w:rsidRPr="000A3EE0">
        <w:rPr>
          <w:rFonts w:ascii="Georgia" w:hAnsi="Georgia" w:cs="Sakkal Majalla"/>
          <w:bCs/>
          <w:color w:val="000000"/>
          <w:sz w:val="52"/>
          <w:szCs w:val="52"/>
        </w:rPr>
        <w:t>Analyse</w:t>
      </w:r>
      <w:proofErr w:type="spellEnd"/>
      <w:r w:rsidRPr="000A3EE0">
        <w:rPr>
          <w:rFonts w:ascii="Georgia" w:hAnsi="Georgia" w:cs="Sakkal Majalla"/>
          <w:bCs/>
          <w:color w:val="000000"/>
          <w:sz w:val="52"/>
          <w:szCs w:val="52"/>
        </w:rPr>
        <w:t xml:space="preserve"> and Report Performance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0A3EE0">
      <w:pPr>
        <w:pStyle w:val="REGA2"/>
        <w:jc w:val="left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E44783">
        <w:t xml:space="preserve">to </w:t>
      </w:r>
      <w:r w:rsidR="000A3EE0">
        <w:t>there is a mechanism in place for the analysis and reporting of the performance of the IT Department and allow the identification of improvement opportunities on an annual basis.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0A3EE0">
      <w:pPr>
        <w:pStyle w:val="REGA2"/>
      </w:pPr>
      <w:r>
        <w:t xml:space="preserve">The procedure starts </w:t>
      </w:r>
      <w:r w:rsidR="002134C0">
        <w:t xml:space="preserve">with </w:t>
      </w:r>
      <w:r w:rsidR="000A3EE0">
        <w:t>the relevant SLAs, Incident Management, Request Fulfilment, Access Management, Problem Management and Change Management Logs and ends with the developed Performance Report/ Dashboard.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0A3885" w:rsidRDefault="00A24D7C" w:rsidP="00A23858">
      <w:pPr>
        <w:pStyle w:val="REGA"/>
      </w:pPr>
      <w:r w:rsidRPr="00230152">
        <w:lastRenderedPageBreak/>
        <w:t>Narrative</w:t>
      </w:r>
    </w:p>
    <w:p w:rsidR="000A3EE0" w:rsidRDefault="000A3EE0" w:rsidP="000A3EE0">
      <w:pPr>
        <w:pStyle w:val="REGA3"/>
      </w:pPr>
      <w:r>
        <w:t>The relevant Section Manager conducts a periodic review of all IT-activity logs.</w:t>
      </w:r>
    </w:p>
    <w:p w:rsidR="000A3EE0" w:rsidRDefault="000A3EE0" w:rsidP="000A3EE0">
      <w:pPr>
        <w:pStyle w:val="REGA3"/>
      </w:pPr>
      <w:r>
        <w:t>The relevant Section Manager aggregates all the necessary data to measure the agreed-on KPI’s and process metrics. These KPIs and process metrics will then be used in a dashboard to measure the performance of the Department as well as the concerned employees.</w:t>
      </w:r>
    </w:p>
    <w:p w:rsidR="000A3EE0" w:rsidRDefault="000A3EE0" w:rsidP="000E484A">
      <w:pPr>
        <w:pStyle w:val="REGA3"/>
      </w:pPr>
      <w:r>
        <w:t xml:space="preserve">The </w:t>
      </w:r>
      <w:r w:rsidR="000E484A">
        <w:t xml:space="preserve">IT General Manager </w:t>
      </w:r>
      <w:r>
        <w:t>distributes the report to the relevant stakeholders and the Authority’s Management.</w:t>
      </w:r>
    </w:p>
    <w:p w:rsidR="005B58C9" w:rsidRPr="00487286" w:rsidRDefault="000A3EE0" w:rsidP="00CF4BBE">
      <w:pPr>
        <w:pStyle w:val="REGA3"/>
      </w:pPr>
      <w:r>
        <w:t>Review IT General Manage</w:t>
      </w:r>
      <w:r w:rsidR="000E484A">
        <w:t>r</w:t>
      </w:r>
      <w:r>
        <w:t xml:space="preserve"> </w:t>
      </w:r>
      <w:proofErr w:type="gramStart"/>
      <w:r>
        <w:t>reviews</w:t>
      </w:r>
      <w:proofErr w:type="gramEnd"/>
      <w:r>
        <w:t xml:space="preserve"> all the management responses, options and recommendations to address issues and major deviations.</w:t>
      </w:r>
      <w:r w:rsidR="005B58C9" w:rsidRPr="00487286">
        <w:br w:type="page"/>
      </w:r>
    </w:p>
    <w:p w:rsidR="001B073F" w:rsidRDefault="000A3EE0" w:rsidP="000A3EE0">
      <w:pPr>
        <w:pStyle w:val="REGA"/>
      </w:pPr>
      <w:proofErr w:type="spellStart"/>
      <w:r w:rsidRPr="000A3EE0">
        <w:lastRenderedPageBreak/>
        <w:t>Analyse</w:t>
      </w:r>
      <w:proofErr w:type="spellEnd"/>
      <w:r w:rsidRPr="000A3EE0">
        <w:t xml:space="preserve"> and Report Performance </w:t>
      </w:r>
      <w:r w:rsidR="0042163D">
        <w:t>Flowchart</w:t>
      </w:r>
    </w:p>
    <w:p w:rsidR="00045BFC" w:rsidRDefault="005C6B5E" w:rsidP="00045BFC">
      <w:pPr>
        <w:pStyle w:val="REGA"/>
        <w:numPr>
          <w:ilvl w:val="0"/>
          <w:numId w:val="0"/>
        </w:numPr>
        <w:ind w:left="1440" w:hanging="1080"/>
      </w:pPr>
      <w:r>
        <w:object w:dxaOrig="16640" w:dyaOrig="7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206pt" o:ole="">
            <v:imagedata r:id="rId8" o:title=""/>
          </v:shape>
          <o:OLEObject Type="Embed" ProgID="Visio.Drawing.15" ShapeID="_x0000_i1025" DrawAspect="Content" ObjectID="_1636288114" r:id="rId9"/>
        </w:object>
      </w:r>
    </w:p>
    <w:p w:rsidR="00045BFC" w:rsidRDefault="00045BFC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5C6B5E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5C6B5E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5C6B5E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65708A" w:rsidRPr="0065708A" w:rsidRDefault="0065708A" w:rsidP="005C6B5E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5C6B5E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5C6B5E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</w:t>
      </w:r>
      <w:bookmarkStart w:id="0" w:name="_GoBack"/>
      <w:bookmarkEnd w:id="0"/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artment within the Authority.</w:t>
      </w:r>
    </w:p>
    <w:p w:rsidR="0065708A" w:rsidRDefault="0065708A" w:rsidP="005C6B5E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65708A" w:rsidRPr="0065708A" w:rsidRDefault="0065708A" w:rsidP="005C6B5E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5C6B5E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7129FD" w:rsidRDefault="0065708A" w:rsidP="005C6B5E">
      <w:pPr>
        <w:pStyle w:val="Header"/>
        <w:bidi w:val="0"/>
        <w:spacing w:before="120" w:after="120"/>
        <w:ind w:right="468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sectPr w:rsidR="007129F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7EC" w:rsidRDefault="00DE57EC" w:rsidP="00213CA8">
      <w:r>
        <w:separator/>
      </w:r>
    </w:p>
  </w:endnote>
  <w:endnote w:type="continuationSeparator" w:id="0">
    <w:p w:rsidR="00DE57EC" w:rsidRDefault="00DE57EC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CB5F0E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5D6537">
            <w:rPr>
              <w:rFonts w:ascii="Verdana" w:eastAsiaTheme="majorEastAsia" w:hAnsi="Verdana" w:cs="Calibri"/>
              <w:sz w:val="14"/>
              <w:szCs w:val="14"/>
            </w:rPr>
            <w:t>1</w:t>
          </w:r>
          <w:r w:rsidR="00806CA0">
            <w:rPr>
              <w:rFonts w:ascii="Verdana" w:eastAsiaTheme="majorEastAsia" w:hAnsi="Verdana" w:cs="Calibri"/>
              <w:sz w:val="14"/>
              <w:szCs w:val="14"/>
            </w:rPr>
            <w:t>3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1067D8">
            <w:rPr>
              <w:rFonts w:ascii="Verdana" w:hAnsi="Verdana" w:cs="Calibri"/>
              <w:noProof/>
              <w:sz w:val="14"/>
              <w:szCs w:val="14"/>
            </w:rPr>
            <w:t>5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1067D8">
            <w:rPr>
              <w:rFonts w:ascii="Verdana" w:hAnsi="Verdana" w:cs="Calibri"/>
              <w:noProof/>
              <w:sz w:val="14"/>
              <w:szCs w:val="14"/>
            </w:rPr>
            <w:t>5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7EC" w:rsidRDefault="00DE57EC" w:rsidP="00213CA8">
      <w:r>
        <w:separator/>
      </w:r>
    </w:p>
  </w:footnote>
  <w:footnote w:type="continuationSeparator" w:id="0">
    <w:p w:rsidR="00DE57EC" w:rsidRDefault="00DE57EC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0A3EE0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proofErr w:type="spellStart"/>
          <w:r w:rsidRPr="000A3EE0">
            <w:rPr>
              <w:rFonts w:ascii="Georgia" w:hAnsi="Georgia" w:cs="Sakkal Majalla"/>
              <w:bCs/>
              <w:color w:val="0000FF"/>
              <w:sz w:val="28"/>
              <w:szCs w:val="28"/>
            </w:rPr>
            <w:t>Analyse</w:t>
          </w:r>
          <w:proofErr w:type="spellEnd"/>
          <w:r w:rsidRPr="000A3EE0">
            <w:rPr>
              <w:rFonts w:ascii="Georgia" w:hAnsi="Georgia" w:cs="Sakkal Majalla"/>
              <w:bCs/>
              <w:color w:val="0000FF"/>
              <w:sz w:val="28"/>
              <w:szCs w:val="28"/>
            </w:rPr>
            <w:t xml:space="preserve"> and Report Performance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C317F3"/>
    <w:multiLevelType w:val="hybridMultilevel"/>
    <w:tmpl w:val="14A44B7E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8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5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1"/>
  </w:num>
  <w:num w:numId="5">
    <w:abstractNumId w:val="8"/>
  </w:num>
  <w:num w:numId="6">
    <w:abstractNumId w:val="13"/>
  </w:num>
  <w:num w:numId="7">
    <w:abstractNumId w:val="12"/>
  </w:num>
  <w:num w:numId="8">
    <w:abstractNumId w:val="15"/>
  </w:num>
  <w:num w:numId="9">
    <w:abstractNumId w:val="3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7"/>
  </w:num>
  <w:num w:numId="13">
    <w:abstractNumId w:val="8"/>
    <w:lvlOverride w:ilvl="0">
      <w:startOverride w:val="1"/>
    </w:lvlOverride>
  </w:num>
  <w:num w:numId="14">
    <w:abstractNumId w:val="6"/>
  </w:num>
  <w:num w:numId="15">
    <w:abstractNumId w:val="15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45BFC"/>
    <w:rsid w:val="00052E98"/>
    <w:rsid w:val="0007035C"/>
    <w:rsid w:val="0007097B"/>
    <w:rsid w:val="00074CE7"/>
    <w:rsid w:val="00075013"/>
    <w:rsid w:val="0008256C"/>
    <w:rsid w:val="00083DE7"/>
    <w:rsid w:val="00094B34"/>
    <w:rsid w:val="00097CE0"/>
    <w:rsid w:val="000A373D"/>
    <w:rsid w:val="000A3885"/>
    <w:rsid w:val="000A3EE0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0E484A"/>
    <w:rsid w:val="00102CEE"/>
    <w:rsid w:val="00103F77"/>
    <w:rsid w:val="001067D8"/>
    <w:rsid w:val="0010790F"/>
    <w:rsid w:val="0011683D"/>
    <w:rsid w:val="00125847"/>
    <w:rsid w:val="00127A2A"/>
    <w:rsid w:val="00132131"/>
    <w:rsid w:val="001537D6"/>
    <w:rsid w:val="001709F4"/>
    <w:rsid w:val="00196AA8"/>
    <w:rsid w:val="001B073F"/>
    <w:rsid w:val="001D5FB8"/>
    <w:rsid w:val="001E536A"/>
    <w:rsid w:val="001F2045"/>
    <w:rsid w:val="001F3A6A"/>
    <w:rsid w:val="00212BC6"/>
    <w:rsid w:val="002134C0"/>
    <w:rsid w:val="00213CA8"/>
    <w:rsid w:val="00216B3D"/>
    <w:rsid w:val="00230152"/>
    <w:rsid w:val="00234CF8"/>
    <w:rsid w:val="002362DA"/>
    <w:rsid w:val="002510B4"/>
    <w:rsid w:val="002522DF"/>
    <w:rsid w:val="00262526"/>
    <w:rsid w:val="00262ED2"/>
    <w:rsid w:val="00282547"/>
    <w:rsid w:val="002842D8"/>
    <w:rsid w:val="002B0AB0"/>
    <w:rsid w:val="002C54CA"/>
    <w:rsid w:val="002E03ED"/>
    <w:rsid w:val="00302311"/>
    <w:rsid w:val="0031363C"/>
    <w:rsid w:val="00331656"/>
    <w:rsid w:val="00336DEC"/>
    <w:rsid w:val="00340B3D"/>
    <w:rsid w:val="003615F9"/>
    <w:rsid w:val="00362A74"/>
    <w:rsid w:val="00362B26"/>
    <w:rsid w:val="0037751A"/>
    <w:rsid w:val="00397529"/>
    <w:rsid w:val="003A6C6A"/>
    <w:rsid w:val="003E48F8"/>
    <w:rsid w:val="003F0BF3"/>
    <w:rsid w:val="003F19DC"/>
    <w:rsid w:val="003F355B"/>
    <w:rsid w:val="004110A0"/>
    <w:rsid w:val="0041287B"/>
    <w:rsid w:val="00421510"/>
    <w:rsid w:val="0042163D"/>
    <w:rsid w:val="004272ED"/>
    <w:rsid w:val="00441603"/>
    <w:rsid w:val="00441629"/>
    <w:rsid w:val="00444ED7"/>
    <w:rsid w:val="00454C4C"/>
    <w:rsid w:val="0047691C"/>
    <w:rsid w:val="00487286"/>
    <w:rsid w:val="00497379"/>
    <w:rsid w:val="004A0727"/>
    <w:rsid w:val="004A1F6E"/>
    <w:rsid w:val="004A2919"/>
    <w:rsid w:val="004B14EB"/>
    <w:rsid w:val="004B3F2F"/>
    <w:rsid w:val="004C3A87"/>
    <w:rsid w:val="004D11AC"/>
    <w:rsid w:val="004D1E6E"/>
    <w:rsid w:val="004F722A"/>
    <w:rsid w:val="00504AF7"/>
    <w:rsid w:val="005125F8"/>
    <w:rsid w:val="00513A22"/>
    <w:rsid w:val="00515DCF"/>
    <w:rsid w:val="00522C65"/>
    <w:rsid w:val="0053002F"/>
    <w:rsid w:val="00533E8B"/>
    <w:rsid w:val="00535E7F"/>
    <w:rsid w:val="00557009"/>
    <w:rsid w:val="005710DC"/>
    <w:rsid w:val="00571E91"/>
    <w:rsid w:val="00575C20"/>
    <w:rsid w:val="005877FC"/>
    <w:rsid w:val="00587FBD"/>
    <w:rsid w:val="00592A67"/>
    <w:rsid w:val="005B4A21"/>
    <w:rsid w:val="005B58C9"/>
    <w:rsid w:val="005C6B5E"/>
    <w:rsid w:val="005D6537"/>
    <w:rsid w:val="00605106"/>
    <w:rsid w:val="0063236E"/>
    <w:rsid w:val="00635C0E"/>
    <w:rsid w:val="00646C01"/>
    <w:rsid w:val="00652668"/>
    <w:rsid w:val="00654298"/>
    <w:rsid w:val="006544F5"/>
    <w:rsid w:val="0065708A"/>
    <w:rsid w:val="006740D1"/>
    <w:rsid w:val="00675A13"/>
    <w:rsid w:val="00686956"/>
    <w:rsid w:val="00686D95"/>
    <w:rsid w:val="006901E1"/>
    <w:rsid w:val="006948BC"/>
    <w:rsid w:val="006978DC"/>
    <w:rsid w:val="006A047D"/>
    <w:rsid w:val="006A2F0A"/>
    <w:rsid w:val="006B44D8"/>
    <w:rsid w:val="006B5B89"/>
    <w:rsid w:val="006C219D"/>
    <w:rsid w:val="006E1E91"/>
    <w:rsid w:val="006F3871"/>
    <w:rsid w:val="00705B5B"/>
    <w:rsid w:val="007129FD"/>
    <w:rsid w:val="00717FBB"/>
    <w:rsid w:val="0072113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5FF3"/>
    <w:rsid w:val="007861EB"/>
    <w:rsid w:val="0079213B"/>
    <w:rsid w:val="007A093F"/>
    <w:rsid w:val="007B3446"/>
    <w:rsid w:val="007B520C"/>
    <w:rsid w:val="007C6D21"/>
    <w:rsid w:val="007F2E15"/>
    <w:rsid w:val="007F3C30"/>
    <w:rsid w:val="00806CA0"/>
    <w:rsid w:val="00807DA7"/>
    <w:rsid w:val="008316F0"/>
    <w:rsid w:val="00841367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697C"/>
    <w:rsid w:val="008F772B"/>
    <w:rsid w:val="00904698"/>
    <w:rsid w:val="0092649E"/>
    <w:rsid w:val="00932492"/>
    <w:rsid w:val="00940E2F"/>
    <w:rsid w:val="0094764C"/>
    <w:rsid w:val="0097096C"/>
    <w:rsid w:val="0097119E"/>
    <w:rsid w:val="00977024"/>
    <w:rsid w:val="00983383"/>
    <w:rsid w:val="00984AEE"/>
    <w:rsid w:val="009A5AE1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37F39"/>
    <w:rsid w:val="00A515AD"/>
    <w:rsid w:val="00A516FB"/>
    <w:rsid w:val="00A65F06"/>
    <w:rsid w:val="00A82B6D"/>
    <w:rsid w:val="00A867D2"/>
    <w:rsid w:val="00A86D6F"/>
    <w:rsid w:val="00A91C07"/>
    <w:rsid w:val="00AA1F7E"/>
    <w:rsid w:val="00AA2607"/>
    <w:rsid w:val="00AA6DAD"/>
    <w:rsid w:val="00AC472D"/>
    <w:rsid w:val="00AD4D70"/>
    <w:rsid w:val="00AE2A3C"/>
    <w:rsid w:val="00AE38FF"/>
    <w:rsid w:val="00AE512A"/>
    <w:rsid w:val="00AE5FC7"/>
    <w:rsid w:val="00AF7412"/>
    <w:rsid w:val="00B01927"/>
    <w:rsid w:val="00B11C01"/>
    <w:rsid w:val="00B306C7"/>
    <w:rsid w:val="00B32BF5"/>
    <w:rsid w:val="00B40BC0"/>
    <w:rsid w:val="00B42E1C"/>
    <w:rsid w:val="00B53D35"/>
    <w:rsid w:val="00B56261"/>
    <w:rsid w:val="00B564C3"/>
    <w:rsid w:val="00B56D96"/>
    <w:rsid w:val="00B75C7B"/>
    <w:rsid w:val="00B81C7A"/>
    <w:rsid w:val="00B93DF4"/>
    <w:rsid w:val="00BA1A8F"/>
    <w:rsid w:val="00BB2A33"/>
    <w:rsid w:val="00BB313A"/>
    <w:rsid w:val="00BE0D4B"/>
    <w:rsid w:val="00BF5312"/>
    <w:rsid w:val="00C33229"/>
    <w:rsid w:val="00C457E1"/>
    <w:rsid w:val="00C666B0"/>
    <w:rsid w:val="00CB1C9B"/>
    <w:rsid w:val="00CB4D5E"/>
    <w:rsid w:val="00CB5F0E"/>
    <w:rsid w:val="00CB6460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E57EC"/>
    <w:rsid w:val="00DF01D4"/>
    <w:rsid w:val="00DF15D2"/>
    <w:rsid w:val="00DF6103"/>
    <w:rsid w:val="00E07F33"/>
    <w:rsid w:val="00E14DCF"/>
    <w:rsid w:val="00E336CB"/>
    <w:rsid w:val="00E42577"/>
    <w:rsid w:val="00E4257C"/>
    <w:rsid w:val="00E44783"/>
    <w:rsid w:val="00E61668"/>
    <w:rsid w:val="00E75B43"/>
    <w:rsid w:val="00E85A3B"/>
    <w:rsid w:val="00EA1A01"/>
    <w:rsid w:val="00EA2E78"/>
    <w:rsid w:val="00EC2175"/>
    <w:rsid w:val="00EC3A90"/>
    <w:rsid w:val="00EE100F"/>
    <w:rsid w:val="00EF4E99"/>
    <w:rsid w:val="00F154EC"/>
    <w:rsid w:val="00F247BB"/>
    <w:rsid w:val="00F45700"/>
    <w:rsid w:val="00F57A0C"/>
    <w:rsid w:val="00F73B2A"/>
    <w:rsid w:val="00F87444"/>
    <w:rsid w:val="00F9305A"/>
    <w:rsid w:val="00F951D3"/>
    <w:rsid w:val="00FA031E"/>
    <w:rsid w:val="00FA7BAC"/>
    <w:rsid w:val="00FC3D1B"/>
    <w:rsid w:val="00FC74D1"/>
    <w:rsid w:val="00FD4D68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66CF5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8C1C-F666-4E49-BC22-214DF29D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9</cp:revision>
  <dcterms:created xsi:type="dcterms:W3CDTF">2019-11-13T10:35:00Z</dcterms:created>
  <dcterms:modified xsi:type="dcterms:W3CDTF">2019-11-26T11:42:00Z</dcterms:modified>
</cp:coreProperties>
</file>