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806CA0" w:rsidP="005125F8">
      <w:pPr>
        <w:bidi w:val="0"/>
        <w:rPr>
          <w:rFonts w:ascii="Georgia" w:hAnsi="Georgia"/>
        </w:rPr>
      </w:pPr>
      <w:r>
        <w:rPr>
          <w:rFonts w:ascii="Georgia" w:hAnsi="Georgia"/>
        </w:rPr>
        <w:softHyphen/>
      </w: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823E6F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823E6F">
        <w:rPr>
          <w:rFonts w:ascii="Georgia" w:hAnsi="Georgia" w:cs="Sakkal Majalla"/>
          <w:bCs/>
          <w:color w:val="000000"/>
          <w:sz w:val="52"/>
          <w:szCs w:val="52"/>
        </w:rPr>
        <w:t xml:space="preserve">Backup Management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5706FA">
      <w:pPr>
        <w:pStyle w:val="REGA2"/>
        <w:jc w:val="left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</w:t>
      </w:r>
      <w:r w:rsidR="002C6B3B">
        <w:t xml:space="preserve">ensure </w:t>
      </w:r>
      <w:r w:rsidR="00823E6F">
        <w:t xml:space="preserve">that there are procedures in place to back up identified data of the </w:t>
      </w:r>
      <w:proofErr w:type="gramStart"/>
      <w:r w:rsidR="00823E6F">
        <w:t xml:space="preserve">Authority </w:t>
      </w:r>
      <w:r w:rsidR="005706FA" w:rsidRPr="005706FA">
        <w:t xml:space="preserve"> and</w:t>
      </w:r>
      <w:proofErr w:type="gramEnd"/>
      <w:r w:rsidR="005706FA" w:rsidRPr="005706FA">
        <w:t xml:space="preserve"> ensure storing it securely for retrieval when required.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823E6F">
      <w:pPr>
        <w:pStyle w:val="REGA2"/>
      </w:pPr>
      <w:r>
        <w:t xml:space="preserve">The procedure starts </w:t>
      </w:r>
      <w:r w:rsidR="002134C0">
        <w:t xml:space="preserve">with </w:t>
      </w:r>
      <w:r w:rsidR="002C6B3B">
        <w:t xml:space="preserve">the </w:t>
      </w:r>
      <w:r w:rsidR="00823E6F">
        <w:t>identified back up requirements and ends with the prepared back up report.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0A3885" w:rsidRDefault="00A24D7C" w:rsidP="00A23858">
      <w:pPr>
        <w:pStyle w:val="REGA"/>
      </w:pPr>
      <w:r w:rsidRPr="00230152">
        <w:lastRenderedPageBreak/>
        <w:t>Narrative</w:t>
      </w:r>
    </w:p>
    <w:p w:rsidR="00823E6F" w:rsidRDefault="00823E6F" w:rsidP="00823E6F">
      <w:pPr>
        <w:pStyle w:val="REGA3"/>
      </w:pPr>
      <w:r>
        <w:t>Based on the purpose of triggering the process, the IT Infrastructure Manager decides on the required steps.</w:t>
      </w:r>
    </w:p>
    <w:p w:rsidR="00823E6F" w:rsidRDefault="00823E6F" w:rsidP="004E6732">
      <w:pPr>
        <w:pStyle w:val="REGA3"/>
        <w:numPr>
          <w:ilvl w:val="1"/>
          <w:numId w:val="8"/>
        </w:numPr>
        <w:ind w:left="1440"/>
      </w:pPr>
      <w:r w:rsidRPr="004E6732">
        <w:rPr>
          <w:b/>
          <w:bCs w:val="0"/>
        </w:rPr>
        <w:t>Case A – Configure &amp; Monitor;</w:t>
      </w:r>
      <w:r>
        <w:t xml:space="preserve"> in case the reason is to configure and monitor</w:t>
      </w:r>
      <w:r w:rsidR="00DB34DA">
        <w:t xml:space="preserve"> due to required adjustments identified in the back up plan</w:t>
      </w:r>
      <w:r>
        <w:t xml:space="preserve">, proceed to </w:t>
      </w:r>
      <w:r w:rsidR="004E6732">
        <w:t xml:space="preserve">the </w:t>
      </w:r>
      <w:r w:rsidR="004E6732" w:rsidRPr="004E6732">
        <w:rPr>
          <w:b/>
          <w:bCs w:val="0"/>
        </w:rPr>
        <w:t>“Configuration Management”</w:t>
      </w:r>
      <w:r w:rsidR="004E6732">
        <w:t xml:space="preserve"> process.</w:t>
      </w:r>
    </w:p>
    <w:p w:rsidR="00823E6F" w:rsidRDefault="00823E6F" w:rsidP="00DB34DA">
      <w:pPr>
        <w:pStyle w:val="REGA3"/>
        <w:numPr>
          <w:ilvl w:val="1"/>
          <w:numId w:val="8"/>
        </w:numPr>
        <w:ind w:left="1440"/>
      </w:pPr>
      <w:r w:rsidRPr="004E6732">
        <w:rPr>
          <w:b/>
          <w:bCs w:val="0"/>
        </w:rPr>
        <w:t>Case B – Test;</w:t>
      </w:r>
      <w:r>
        <w:t xml:space="preserve"> in case the reason is to conduct tests, proceed to step 3.2.</w:t>
      </w:r>
    </w:p>
    <w:p w:rsidR="00DB34DA" w:rsidRDefault="00823E6F" w:rsidP="00DB34DA">
      <w:pPr>
        <w:pStyle w:val="REGA3"/>
      </w:pPr>
      <w:r>
        <w:t>The IT Infrastructure Specialist prepares/updates the annual restoration plan</w:t>
      </w:r>
      <w:r w:rsidR="00DB34DA">
        <w:t xml:space="preserve"> based on access, back up needs and retention requirements</w:t>
      </w:r>
      <w:r>
        <w:t>.</w:t>
      </w:r>
    </w:p>
    <w:p w:rsidR="00DB34DA" w:rsidRDefault="00DB34DA" w:rsidP="00DB34DA">
      <w:pPr>
        <w:pStyle w:val="REGA3"/>
      </w:pPr>
      <w:r>
        <w:t>The IT Infrastructure Specialist conducts testing to assess its integrity and the time needed to complete the data restoration in case of an emergency.</w:t>
      </w:r>
    </w:p>
    <w:p w:rsidR="00DB34DA" w:rsidRDefault="00DB34DA" w:rsidP="00823E6F">
      <w:pPr>
        <w:pStyle w:val="REGA3"/>
      </w:pPr>
      <w:r>
        <w:t>The IT Infrastructure Specialist records the results and maintains the related logs for future reference.</w:t>
      </w:r>
    </w:p>
    <w:p w:rsidR="00DB34DA" w:rsidRDefault="00DB34DA" w:rsidP="00DB34DA">
      <w:pPr>
        <w:pStyle w:val="REGA3"/>
      </w:pPr>
      <w:r>
        <w:t>Based on the results, the IT Infrastructure Manager decides whether or not changes are required.</w:t>
      </w:r>
    </w:p>
    <w:p w:rsidR="00DB34DA" w:rsidRDefault="00DB34DA" w:rsidP="005706FA">
      <w:pPr>
        <w:pStyle w:val="REGA3"/>
        <w:numPr>
          <w:ilvl w:val="1"/>
          <w:numId w:val="8"/>
        </w:numPr>
        <w:ind w:left="1440"/>
      </w:pPr>
      <w:r w:rsidRPr="00DB34DA">
        <w:rPr>
          <w:b/>
          <w:bCs w:val="0"/>
        </w:rPr>
        <w:t>Case A – Yes;</w:t>
      </w:r>
      <w:r>
        <w:t xml:space="preserve"> in case changes are required, proceed to the </w:t>
      </w:r>
      <w:r w:rsidRPr="00DB34DA">
        <w:rPr>
          <w:b/>
          <w:bCs w:val="0"/>
        </w:rPr>
        <w:t xml:space="preserve">“Configuration Management” </w:t>
      </w:r>
      <w:r w:rsidR="005706FA">
        <w:t xml:space="preserve">process, </w:t>
      </w:r>
      <w:r w:rsidR="005706FA" w:rsidRPr="005706FA">
        <w:rPr>
          <w:b/>
          <w:bCs w:val="0"/>
        </w:rPr>
        <w:t>process ends.</w:t>
      </w:r>
      <w:bookmarkStart w:id="0" w:name="_GoBack"/>
      <w:bookmarkEnd w:id="0"/>
    </w:p>
    <w:p w:rsidR="005B58C9" w:rsidRPr="00487286" w:rsidRDefault="00DB34DA" w:rsidP="005706FA">
      <w:pPr>
        <w:pStyle w:val="REGA3"/>
        <w:numPr>
          <w:ilvl w:val="1"/>
          <w:numId w:val="8"/>
        </w:numPr>
        <w:ind w:left="1440"/>
      </w:pPr>
      <w:r w:rsidRPr="00DB34DA">
        <w:rPr>
          <w:b/>
          <w:bCs w:val="0"/>
        </w:rPr>
        <w:t>Case B – No;</w:t>
      </w:r>
      <w:r>
        <w:t xml:space="preserve"> in case changes are required, </w:t>
      </w:r>
      <w:r w:rsidR="005706FA" w:rsidRPr="005706FA">
        <w:rPr>
          <w:b/>
          <w:bCs w:val="0"/>
        </w:rPr>
        <w:t>process ends.</w:t>
      </w:r>
      <w:r w:rsidR="005B58C9" w:rsidRPr="00487286">
        <w:br w:type="page"/>
      </w:r>
    </w:p>
    <w:p w:rsidR="001B073F" w:rsidRDefault="00823E6F" w:rsidP="00823E6F">
      <w:pPr>
        <w:pStyle w:val="REGA"/>
      </w:pPr>
      <w:r w:rsidRPr="00823E6F">
        <w:lastRenderedPageBreak/>
        <w:t xml:space="preserve">Backup Management </w:t>
      </w:r>
      <w:r w:rsidR="0042163D">
        <w:t>Flowchart</w:t>
      </w:r>
    </w:p>
    <w:p w:rsidR="00045BFC" w:rsidRDefault="004E6732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>
        <w:object w:dxaOrig="16640" w:dyaOrig="9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265.9pt" o:ole="">
            <v:imagedata r:id="rId8" o:title=""/>
          </v:shape>
          <o:OLEObject Type="Embed" ProgID="Visio.Drawing.15" ShapeID="_x0000_i1025" DrawAspect="Content" ObjectID="_1636288408" r:id="rId9"/>
        </w:object>
      </w:r>
      <w:r w:rsidR="00045BFC"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DB34DA" w:rsidP="005A2F2E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Data Backup Performance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5A2F2E" w:rsidP="00DB34DA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 xml:space="preserve">The percentage of </w:t>
            </w:r>
            <w:r w:rsidR="00DB34DA">
              <w:rPr>
                <w:rFonts w:ascii="Georgia" w:hAnsi="Georgia" w:cs="Sakkal Majalla"/>
              </w:rPr>
              <w:t>scheduled backup activities completed in relation to the total scheduled backup activities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1709F4" w:rsidRDefault="00B31F3F" w:rsidP="00430EE9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</w:rPr>
                          <m:t>Completed Scheduled Backup Activities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</w:rPr>
                          <m:t>Total Scheduled Backup Activities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</w:rPr>
                  <m:t xml:space="preserve"> x 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4E6732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4E6732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4E6732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B11C01" w:rsidRPr="004E6732" w:rsidRDefault="0065708A" w:rsidP="004E6732">
      <w:pPr>
        <w:pStyle w:val="Header"/>
        <w:bidi w:val="0"/>
        <w:spacing w:before="120" w:after="120"/>
        <w:ind w:right="468"/>
        <w:rPr>
          <w:rFonts w:ascii="Georgia" w:hAnsi="Georgia" w:cs="Arial"/>
          <w:lang w:bidi="ar-OM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sectPr w:rsidR="00B11C01" w:rsidRPr="004E67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3F" w:rsidRDefault="00B31F3F" w:rsidP="00213CA8">
      <w:r>
        <w:separator/>
      </w:r>
    </w:p>
  </w:endnote>
  <w:endnote w:type="continuationSeparator" w:id="0">
    <w:p w:rsidR="00B31F3F" w:rsidRDefault="00B31F3F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CB5F0E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5D6537">
            <w:rPr>
              <w:rFonts w:ascii="Verdana" w:eastAsiaTheme="majorEastAsia" w:hAnsi="Verdana" w:cs="Calibri"/>
              <w:sz w:val="14"/>
              <w:szCs w:val="14"/>
            </w:rPr>
            <w:t>1</w:t>
          </w:r>
          <w:r w:rsidR="004E6732">
            <w:rPr>
              <w:rFonts w:ascii="Verdana" w:eastAsiaTheme="majorEastAsia" w:hAnsi="Verdana" w:cs="Calibri"/>
              <w:sz w:val="14"/>
              <w:szCs w:val="14"/>
            </w:rPr>
            <w:t>6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5706FA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5706FA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3F" w:rsidRDefault="00B31F3F" w:rsidP="00213CA8">
      <w:r>
        <w:separator/>
      </w:r>
    </w:p>
  </w:footnote>
  <w:footnote w:type="continuationSeparator" w:id="0">
    <w:p w:rsidR="00B31F3F" w:rsidRDefault="00B31F3F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823E6F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823E6F">
            <w:rPr>
              <w:rFonts w:ascii="Georgia" w:hAnsi="Georgia" w:cs="Sakkal Majalla"/>
              <w:bCs/>
              <w:color w:val="0000FF"/>
              <w:sz w:val="28"/>
              <w:szCs w:val="28"/>
            </w:rPr>
            <w:t>Backup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C317F3"/>
    <w:multiLevelType w:val="hybridMultilevel"/>
    <w:tmpl w:val="14A44B7E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8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4451BC"/>
    <w:multiLevelType w:val="hybridMultilevel"/>
    <w:tmpl w:val="AED24FC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6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1"/>
  </w:num>
  <w:num w:numId="5">
    <w:abstractNumId w:val="8"/>
  </w:num>
  <w:num w:numId="6">
    <w:abstractNumId w:val="14"/>
  </w:num>
  <w:num w:numId="7">
    <w:abstractNumId w:val="13"/>
  </w:num>
  <w:num w:numId="8">
    <w:abstractNumId w:val="16"/>
  </w:num>
  <w:num w:numId="9">
    <w:abstractNumId w:val="3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8"/>
  </w:num>
  <w:num w:numId="13">
    <w:abstractNumId w:val="8"/>
    <w:lvlOverride w:ilvl="0">
      <w:startOverride w:val="1"/>
    </w:lvlOverride>
  </w:num>
  <w:num w:numId="14">
    <w:abstractNumId w:val="6"/>
  </w:num>
  <w:num w:numId="15">
    <w:abstractNumId w:val="16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7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14D11"/>
    <w:rsid w:val="0003706F"/>
    <w:rsid w:val="00040320"/>
    <w:rsid w:val="00045BFC"/>
    <w:rsid w:val="00050818"/>
    <w:rsid w:val="00052E98"/>
    <w:rsid w:val="0007035C"/>
    <w:rsid w:val="0007097B"/>
    <w:rsid w:val="00074CE7"/>
    <w:rsid w:val="00075013"/>
    <w:rsid w:val="0008256C"/>
    <w:rsid w:val="00083DE7"/>
    <w:rsid w:val="00094B34"/>
    <w:rsid w:val="00097CE0"/>
    <w:rsid w:val="000A373D"/>
    <w:rsid w:val="000A3885"/>
    <w:rsid w:val="000A3EE0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3F77"/>
    <w:rsid w:val="0010790F"/>
    <w:rsid w:val="0011683D"/>
    <w:rsid w:val="00125847"/>
    <w:rsid w:val="00127A2A"/>
    <w:rsid w:val="00132131"/>
    <w:rsid w:val="001333BB"/>
    <w:rsid w:val="001537D6"/>
    <w:rsid w:val="001709F4"/>
    <w:rsid w:val="00196AA8"/>
    <w:rsid w:val="001B073F"/>
    <w:rsid w:val="001D5FB8"/>
    <w:rsid w:val="001E536A"/>
    <w:rsid w:val="001F2045"/>
    <w:rsid w:val="001F3A6A"/>
    <w:rsid w:val="00212BC6"/>
    <w:rsid w:val="002134C0"/>
    <w:rsid w:val="00213CA8"/>
    <w:rsid w:val="00216B3D"/>
    <w:rsid w:val="00230152"/>
    <w:rsid w:val="00234CF8"/>
    <w:rsid w:val="002362DA"/>
    <w:rsid w:val="002510B4"/>
    <w:rsid w:val="002522DF"/>
    <w:rsid w:val="00262526"/>
    <w:rsid w:val="00262ED2"/>
    <w:rsid w:val="00282547"/>
    <w:rsid w:val="002842D8"/>
    <w:rsid w:val="002B0AB0"/>
    <w:rsid w:val="002C54CA"/>
    <w:rsid w:val="002C6B3B"/>
    <w:rsid w:val="002E03ED"/>
    <w:rsid w:val="00302311"/>
    <w:rsid w:val="0031363C"/>
    <w:rsid w:val="00331656"/>
    <w:rsid w:val="00336DEC"/>
    <w:rsid w:val="00340B3D"/>
    <w:rsid w:val="003615F9"/>
    <w:rsid w:val="00362A74"/>
    <w:rsid w:val="00362B26"/>
    <w:rsid w:val="0037751A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30EE9"/>
    <w:rsid w:val="00441603"/>
    <w:rsid w:val="00441629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4E54D1"/>
    <w:rsid w:val="004E6732"/>
    <w:rsid w:val="004F722A"/>
    <w:rsid w:val="00504AF7"/>
    <w:rsid w:val="005125F8"/>
    <w:rsid w:val="00513A22"/>
    <w:rsid w:val="00515DCF"/>
    <w:rsid w:val="00522C65"/>
    <w:rsid w:val="00523A12"/>
    <w:rsid w:val="0053002F"/>
    <w:rsid w:val="00533E8B"/>
    <w:rsid w:val="00535E7F"/>
    <w:rsid w:val="00557009"/>
    <w:rsid w:val="005706FA"/>
    <w:rsid w:val="005710DC"/>
    <w:rsid w:val="00571E91"/>
    <w:rsid w:val="00575C20"/>
    <w:rsid w:val="005877FC"/>
    <w:rsid w:val="00587FBD"/>
    <w:rsid w:val="00592A67"/>
    <w:rsid w:val="005A2F2E"/>
    <w:rsid w:val="005B4A21"/>
    <w:rsid w:val="005B58C9"/>
    <w:rsid w:val="005D6537"/>
    <w:rsid w:val="005F2F7C"/>
    <w:rsid w:val="00605106"/>
    <w:rsid w:val="0063236E"/>
    <w:rsid w:val="00635C0E"/>
    <w:rsid w:val="00636C44"/>
    <w:rsid w:val="00646C01"/>
    <w:rsid w:val="00652668"/>
    <w:rsid w:val="00654298"/>
    <w:rsid w:val="006544F5"/>
    <w:rsid w:val="0065708A"/>
    <w:rsid w:val="006740D1"/>
    <w:rsid w:val="00675A13"/>
    <w:rsid w:val="00686956"/>
    <w:rsid w:val="00686D95"/>
    <w:rsid w:val="006901E1"/>
    <w:rsid w:val="006948BC"/>
    <w:rsid w:val="006978DC"/>
    <w:rsid w:val="006A047D"/>
    <w:rsid w:val="006A2F0A"/>
    <w:rsid w:val="006B44D8"/>
    <w:rsid w:val="006B5B89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A3025"/>
    <w:rsid w:val="007B3446"/>
    <w:rsid w:val="007B520C"/>
    <w:rsid w:val="007C6D21"/>
    <w:rsid w:val="007F2E15"/>
    <w:rsid w:val="007F3C30"/>
    <w:rsid w:val="00806CA0"/>
    <w:rsid w:val="00807DA7"/>
    <w:rsid w:val="00823E6F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697C"/>
    <w:rsid w:val="008F772B"/>
    <w:rsid w:val="00904698"/>
    <w:rsid w:val="0092649E"/>
    <w:rsid w:val="00932492"/>
    <w:rsid w:val="00940E2F"/>
    <w:rsid w:val="0094764C"/>
    <w:rsid w:val="0097096C"/>
    <w:rsid w:val="0097119E"/>
    <w:rsid w:val="00977024"/>
    <w:rsid w:val="00983383"/>
    <w:rsid w:val="00984AEE"/>
    <w:rsid w:val="009A5AE1"/>
    <w:rsid w:val="009A7CEB"/>
    <w:rsid w:val="009B3CDE"/>
    <w:rsid w:val="009B7C6E"/>
    <w:rsid w:val="009C0096"/>
    <w:rsid w:val="009C2B34"/>
    <w:rsid w:val="009C3075"/>
    <w:rsid w:val="009C394B"/>
    <w:rsid w:val="009E1733"/>
    <w:rsid w:val="009F453D"/>
    <w:rsid w:val="00A24D7C"/>
    <w:rsid w:val="00A32FB4"/>
    <w:rsid w:val="00A36FE2"/>
    <w:rsid w:val="00A37F39"/>
    <w:rsid w:val="00A40548"/>
    <w:rsid w:val="00A515AD"/>
    <w:rsid w:val="00A516FB"/>
    <w:rsid w:val="00A65F06"/>
    <w:rsid w:val="00A82B6D"/>
    <w:rsid w:val="00A867D2"/>
    <w:rsid w:val="00A86D6F"/>
    <w:rsid w:val="00AA1F7E"/>
    <w:rsid w:val="00AA2607"/>
    <w:rsid w:val="00AA6DAD"/>
    <w:rsid w:val="00AC472D"/>
    <w:rsid w:val="00AD4D70"/>
    <w:rsid w:val="00AE2A3C"/>
    <w:rsid w:val="00AE38FF"/>
    <w:rsid w:val="00AE512A"/>
    <w:rsid w:val="00AE5FC7"/>
    <w:rsid w:val="00AF7412"/>
    <w:rsid w:val="00B01927"/>
    <w:rsid w:val="00B11C01"/>
    <w:rsid w:val="00B306C7"/>
    <w:rsid w:val="00B31F3F"/>
    <w:rsid w:val="00B32BF5"/>
    <w:rsid w:val="00B40BC0"/>
    <w:rsid w:val="00B42E1C"/>
    <w:rsid w:val="00B53D35"/>
    <w:rsid w:val="00B56261"/>
    <w:rsid w:val="00B564C3"/>
    <w:rsid w:val="00B56D96"/>
    <w:rsid w:val="00B75C7B"/>
    <w:rsid w:val="00B81C7A"/>
    <w:rsid w:val="00B93DF4"/>
    <w:rsid w:val="00BA1A8F"/>
    <w:rsid w:val="00BA2A7E"/>
    <w:rsid w:val="00BB2A33"/>
    <w:rsid w:val="00BB313A"/>
    <w:rsid w:val="00BE0D4B"/>
    <w:rsid w:val="00BF5312"/>
    <w:rsid w:val="00C33229"/>
    <w:rsid w:val="00C457E1"/>
    <w:rsid w:val="00C666B0"/>
    <w:rsid w:val="00CB1C9B"/>
    <w:rsid w:val="00CB4D5E"/>
    <w:rsid w:val="00CB5F0E"/>
    <w:rsid w:val="00CB6460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B34DA"/>
    <w:rsid w:val="00DC4A7B"/>
    <w:rsid w:val="00DD55DF"/>
    <w:rsid w:val="00DD7EB0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C3A90"/>
    <w:rsid w:val="00EE100F"/>
    <w:rsid w:val="00EF4E99"/>
    <w:rsid w:val="00F154EC"/>
    <w:rsid w:val="00F247BB"/>
    <w:rsid w:val="00F45700"/>
    <w:rsid w:val="00F57A0C"/>
    <w:rsid w:val="00F73B2A"/>
    <w:rsid w:val="00F87444"/>
    <w:rsid w:val="00F9305A"/>
    <w:rsid w:val="00F951D3"/>
    <w:rsid w:val="00FA031E"/>
    <w:rsid w:val="00FA151B"/>
    <w:rsid w:val="00FA7BAC"/>
    <w:rsid w:val="00FC3D1B"/>
    <w:rsid w:val="00FC5F43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8CCDE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63BEA-BBEB-425F-9600-88CAA530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7</cp:revision>
  <dcterms:created xsi:type="dcterms:W3CDTF">2019-11-13T12:39:00Z</dcterms:created>
  <dcterms:modified xsi:type="dcterms:W3CDTF">2019-11-26T11:47:00Z</dcterms:modified>
</cp:coreProperties>
</file>