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41287B" w:rsidP="0041287B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>
        <w:rPr>
          <w:rFonts w:ascii="Georgia" w:hAnsi="Georgia" w:cs="Sakkal Majalla"/>
          <w:bCs/>
          <w:color w:val="000000"/>
          <w:sz w:val="52"/>
          <w:szCs w:val="52"/>
        </w:rPr>
        <w:t>Strategy Management</w:t>
      </w:r>
      <w:r w:rsidR="003F355B"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7A093F" w:rsidRPr="00487286" w:rsidRDefault="007A093F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6740D1" w:rsidRDefault="006740D1" w:rsidP="0041287B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>is t</w:t>
      </w:r>
      <w:r w:rsidRPr="00282547">
        <w:t>o</w:t>
      </w:r>
      <w:r w:rsidR="00362B26">
        <w:t xml:space="preserve"> </w:t>
      </w:r>
      <w:r w:rsidR="0041287B">
        <w:t>develop an IT Strategic Plan in liaison with the Authority’s relevant Departments which is in line with the Authority-wide Strategy.</w:t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E42577" w:rsidRPr="00E42577" w:rsidRDefault="00E42577" w:rsidP="0041287B">
      <w:pPr>
        <w:pStyle w:val="REGA2"/>
      </w:pPr>
      <w:r>
        <w:t xml:space="preserve">The procedure starts with the </w:t>
      </w:r>
      <w:r w:rsidR="004C3A87">
        <w:t xml:space="preserve">gathered inputs from other departments, stakeholders and projects as per the discussions held internally </w:t>
      </w:r>
      <w:r w:rsidR="0041287B">
        <w:t>within the Authority and ends with the IT Strategic Plan for the year.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41287B" w:rsidRDefault="0041287B" w:rsidP="006544F5">
      <w:pPr>
        <w:pStyle w:val="REGA3"/>
      </w:pPr>
      <w:r w:rsidRPr="0041287B">
        <w:t xml:space="preserve">The IT </w:t>
      </w:r>
      <w:r w:rsidR="006544F5">
        <w:t xml:space="preserve">General </w:t>
      </w:r>
      <w:r w:rsidRPr="0041287B">
        <w:t xml:space="preserve">Manager receives the Annual </w:t>
      </w:r>
      <w:r w:rsidR="006544F5">
        <w:t xml:space="preserve">Authority-wide </w:t>
      </w:r>
      <w:r w:rsidRPr="0041287B">
        <w:t>Strategic Plan and gains an understanding of all the IT requirements needed to execute the plan.</w:t>
      </w:r>
    </w:p>
    <w:p w:rsidR="0041287B" w:rsidRDefault="0041287B" w:rsidP="007806F7">
      <w:pPr>
        <w:pStyle w:val="REGA3"/>
      </w:pPr>
      <w:r>
        <w:t xml:space="preserve">The </w:t>
      </w:r>
      <w:r w:rsidR="007806F7" w:rsidRPr="0041287B">
        <w:t xml:space="preserve">IT </w:t>
      </w:r>
      <w:r w:rsidR="007806F7">
        <w:t xml:space="preserve">General </w:t>
      </w:r>
      <w:r w:rsidR="007806F7" w:rsidRPr="0041287B">
        <w:t xml:space="preserve">Manager </w:t>
      </w:r>
      <w:r>
        <w:t xml:space="preserve">assesses the status of the </w:t>
      </w:r>
      <w:r w:rsidR="007806F7">
        <w:t>Authority’s</w:t>
      </w:r>
      <w:r>
        <w:t xml:space="preserve"> IT </w:t>
      </w:r>
      <w:r w:rsidR="007806F7">
        <w:t xml:space="preserve">Department </w:t>
      </w:r>
      <w:r>
        <w:t>by performing a detailed assessment of the following:</w:t>
      </w:r>
    </w:p>
    <w:p w:rsidR="0041287B" w:rsidRDefault="0041287B" w:rsidP="0041287B">
      <w:pPr>
        <w:pStyle w:val="REGA3"/>
        <w:numPr>
          <w:ilvl w:val="0"/>
          <w:numId w:val="21"/>
        </w:numPr>
        <w:tabs>
          <w:tab w:val="left" w:pos="1260"/>
        </w:tabs>
        <w:ind w:left="1530"/>
      </w:pPr>
      <w:r>
        <w:t>Current environment</w:t>
      </w:r>
    </w:p>
    <w:p w:rsidR="0041287B" w:rsidRDefault="0041287B" w:rsidP="0041287B">
      <w:pPr>
        <w:pStyle w:val="REGA3"/>
        <w:numPr>
          <w:ilvl w:val="0"/>
          <w:numId w:val="21"/>
        </w:numPr>
        <w:tabs>
          <w:tab w:val="left" w:pos="1260"/>
        </w:tabs>
        <w:ind w:left="1530"/>
      </w:pPr>
      <w:r>
        <w:t>Capabilities</w:t>
      </w:r>
    </w:p>
    <w:p w:rsidR="0041287B" w:rsidRDefault="0041287B" w:rsidP="0041287B">
      <w:pPr>
        <w:pStyle w:val="REGA3"/>
        <w:numPr>
          <w:ilvl w:val="0"/>
          <w:numId w:val="21"/>
        </w:numPr>
        <w:tabs>
          <w:tab w:val="left" w:pos="1260"/>
        </w:tabs>
        <w:ind w:left="1530"/>
      </w:pPr>
      <w:r>
        <w:t>Performance</w:t>
      </w:r>
      <w:r w:rsidRPr="00487286">
        <w:t xml:space="preserve"> </w:t>
      </w:r>
    </w:p>
    <w:p w:rsidR="0041287B" w:rsidRDefault="007806F7" w:rsidP="007806F7">
      <w:pPr>
        <w:pStyle w:val="REGA3"/>
      </w:pPr>
      <w:r>
        <w:t>The relevant Section Manager</w:t>
      </w:r>
      <w:r w:rsidRPr="0041287B">
        <w:t xml:space="preserve"> </w:t>
      </w:r>
      <w:r>
        <w:t>d</w:t>
      </w:r>
      <w:r w:rsidR="0041287B" w:rsidRPr="0041287B">
        <w:t>efine</w:t>
      </w:r>
      <w:r>
        <w:t>s</w:t>
      </w:r>
      <w:r w:rsidR="0041287B" w:rsidRPr="0041287B">
        <w:t xml:space="preserve"> the target IT capabilities based on business requirements and consideration of best practices and emerging technologies</w:t>
      </w:r>
      <w:r w:rsidR="0041287B">
        <w:t xml:space="preserve">. </w:t>
      </w:r>
      <w:r>
        <w:t xml:space="preserve">The relevant Section </w:t>
      </w:r>
      <w:r w:rsidR="0041287B" w:rsidRPr="0041287B">
        <w:t xml:space="preserve">performs an AS-IS analysis of the IT </w:t>
      </w:r>
      <w:r w:rsidR="0041287B">
        <w:t>Department</w:t>
      </w:r>
      <w:r w:rsidR="0041287B" w:rsidRPr="0041287B">
        <w:t>. T</w:t>
      </w:r>
      <w:r w:rsidR="0041287B">
        <w:t xml:space="preserve">his is in order to understand the current situation and any weaknesses, as well as defining the target IT capabilities based on </w:t>
      </w:r>
      <w:r>
        <w:t>the Authority’s</w:t>
      </w:r>
      <w:r w:rsidR="0041287B">
        <w:t xml:space="preserve"> requirements, consideration of best practices, and emerging technologies.</w:t>
      </w:r>
    </w:p>
    <w:p w:rsidR="0041287B" w:rsidRDefault="007806F7" w:rsidP="0041287B">
      <w:pPr>
        <w:pStyle w:val="REGA3"/>
      </w:pPr>
      <w:r>
        <w:t>The relevant Section</w:t>
      </w:r>
      <w:r w:rsidR="002C3DAC">
        <w:t xml:space="preserve"> Manager</w:t>
      </w:r>
      <w:r>
        <w:t xml:space="preserve"> </w:t>
      </w:r>
      <w:r w:rsidR="0041287B" w:rsidRPr="0041287B">
        <w:t xml:space="preserve">identifies gaps between the current and target environments, followed by designing an approach for IT initiatives for the annual year. </w:t>
      </w:r>
    </w:p>
    <w:p w:rsidR="0041287B" w:rsidRDefault="007806F7" w:rsidP="0041287B">
      <w:pPr>
        <w:pStyle w:val="REGA3"/>
      </w:pPr>
      <w:r>
        <w:t xml:space="preserve">The relevant Section </w:t>
      </w:r>
      <w:r w:rsidR="002C3DAC">
        <w:t>Manager</w:t>
      </w:r>
      <w:r w:rsidR="002C3DAC">
        <w:t xml:space="preserve"> </w:t>
      </w:r>
      <w:r w:rsidR="0041287B">
        <w:t>proposes an IT strategic plan, capacity plan, and roadmap based on findings from previous steps.</w:t>
      </w:r>
    </w:p>
    <w:p w:rsidR="0041287B" w:rsidRDefault="0041287B" w:rsidP="007806F7">
      <w:pPr>
        <w:pStyle w:val="REGA3"/>
      </w:pPr>
      <w:r w:rsidRPr="0041287B">
        <w:t xml:space="preserve">The </w:t>
      </w:r>
      <w:r w:rsidR="007806F7">
        <w:t xml:space="preserve">developed IT strategic plan, capacity plan, and roadmap is reviewed and approved as per the Authority’s </w:t>
      </w:r>
      <w:proofErr w:type="gramStart"/>
      <w:r w:rsidR="007806F7">
        <w:t>DoA</w:t>
      </w:r>
      <w:proofErr w:type="gramEnd"/>
      <w:r w:rsidRPr="0041287B">
        <w:t>.</w:t>
      </w:r>
    </w:p>
    <w:p w:rsidR="0041287B" w:rsidRDefault="007806F7" w:rsidP="0041287B">
      <w:pPr>
        <w:pStyle w:val="REGA4"/>
        <w:ind w:left="1530"/>
      </w:pPr>
      <w:r w:rsidRPr="007806F7">
        <w:rPr>
          <w:b/>
          <w:bCs/>
          <w:lang w:val="en-GB"/>
        </w:rPr>
        <w:lastRenderedPageBreak/>
        <w:t>Case A – Yes;</w:t>
      </w:r>
      <w:r>
        <w:rPr>
          <w:lang w:val="en-GB"/>
        </w:rPr>
        <w:t xml:space="preserve"> in case the developed </w:t>
      </w:r>
      <w:r>
        <w:t xml:space="preserve">IT strategic plan, capacity plan, and roadmap are approved, </w:t>
      </w:r>
      <w:r>
        <w:rPr>
          <w:lang w:val="en-GB"/>
        </w:rPr>
        <w:t>proceed to step 3.7.</w:t>
      </w:r>
    </w:p>
    <w:p w:rsidR="0041287B" w:rsidRDefault="007806F7" w:rsidP="0041287B">
      <w:pPr>
        <w:pStyle w:val="REGA4"/>
        <w:ind w:left="1530"/>
      </w:pPr>
      <w:r w:rsidRPr="007806F7">
        <w:rPr>
          <w:b/>
          <w:bCs/>
        </w:rPr>
        <w:t>Case B – No;</w:t>
      </w:r>
      <w:r>
        <w:t xml:space="preserve"> in case the developed IT strategic plan, capacity plan, and roadmap required changes based on the provided recommendations, return to step 3.5.</w:t>
      </w:r>
    </w:p>
    <w:p w:rsidR="00EB0CAC" w:rsidRDefault="0041287B" w:rsidP="007806F7">
      <w:pPr>
        <w:pStyle w:val="REGA3"/>
      </w:pPr>
      <w:r w:rsidRPr="0041287B">
        <w:t xml:space="preserve">The IT </w:t>
      </w:r>
      <w:r w:rsidR="007806F7">
        <w:t xml:space="preserve">General </w:t>
      </w:r>
      <w:r w:rsidRPr="0041287B">
        <w:t xml:space="preserve">Manager communicates the strategic plan and roadmap to </w:t>
      </w:r>
      <w:r w:rsidR="007806F7">
        <w:t>the Authority’s</w:t>
      </w:r>
      <w:r w:rsidRPr="0041287B">
        <w:t xml:space="preserve"> other business users</w:t>
      </w:r>
      <w:r w:rsidR="00EB0CAC">
        <w:t>.</w:t>
      </w:r>
    </w:p>
    <w:p w:rsidR="0041287B" w:rsidRDefault="00EB0CAC" w:rsidP="00EB0CAC">
      <w:pPr>
        <w:pStyle w:val="REGA3"/>
      </w:pPr>
      <w:r>
        <w:t xml:space="preserve">The </w:t>
      </w:r>
      <w:r w:rsidR="005D3611">
        <w:t xml:space="preserve">relevant </w:t>
      </w:r>
      <w:r>
        <w:t>IT Specialist files all relevant documents for future reference</w:t>
      </w:r>
      <w:r w:rsidR="0041287B" w:rsidRPr="0041287B">
        <w:t>.</w:t>
      </w:r>
      <w:r w:rsidR="0041287B">
        <w:t xml:space="preserve"> </w:t>
      </w:r>
      <w:r w:rsidR="0041287B" w:rsidRPr="00EB0CAC">
        <w:rPr>
          <w:b/>
          <w:bCs w:val="0"/>
        </w:rPr>
        <w:t>Process ends.</w:t>
      </w:r>
    </w:p>
    <w:p w:rsidR="005B58C9" w:rsidRPr="00487286" w:rsidRDefault="005B58C9" w:rsidP="0041287B">
      <w:pPr>
        <w:pStyle w:val="REGA3"/>
      </w:pPr>
      <w:r w:rsidRPr="00487286">
        <w:br w:type="page"/>
      </w:r>
    </w:p>
    <w:p w:rsidR="00A24D7C" w:rsidRDefault="005710DC" w:rsidP="00B40BC0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>
        <w:rPr>
          <w:rFonts w:ascii="Georgia" w:hAnsi="Georgia" w:cs="Sakkal Majalla"/>
          <w:b/>
          <w:color w:val="000000"/>
          <w:sz w:val="30"/>
          <w:szCs w:val="30"/>
        </w:rPr>
        <w:lastRenderedPageBreak/>
        <w:t xml:space="preserve">Strategy Management </w:t>
      </w:r>
      <w:r w:rsidR="0042163D">
        <w:rPr>
          <w:rFonts w:ascii="Georgia" w:hAnsi="Georgia" w:cs="Sakkal Majalla"/>
          <w:b/>
          <w:color w:val="000000"/>
          <w:sz w:val="30"/>
          <w:szCs w:val="30"/>
        </w:rPr>
        <w:t>Flowchart</w:t>
      </w:r>
    </w:p>
    <w:p w:rsidR="00904698" w:rsidRPr="00487286" w:rsidRDefault="00904698" w:rsidP="00904698">
      <w:pPr>
        <w:pStyle w:val="Header"/>
        <w:bidi w:val="0"/>
        <w:ind w:left="360"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904698" w:rsidRDefault="005300DE" w:rsidP="005125F8">
      <w:pPr>
        <w:pStyle w:val="Header"/>
        <w:bidi w:val="0"/>
        <w:ind w:right="468"/>
      </w:pPr>
      <w:r>
        <w:object w:dxaOrig="16275" w:dyaOrig="10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12.25pt" o:ole="">
            <v:imagedata r:id="rId8" o:title=""/>
          </v:shape>
          <o:OLEObject Type="Embed" ProgID="Visio.Drawing.15" ShapeID="_x0000_i1025" DrawAspect="Content" ObjectID="_1636285757" r:id="rId9"/>
        </w:object>
      </w:r>
    </w:p>
    <w:p w:rsidR="00904698" w:rsidRDefault="00904698" w:rsidP="004D1E6E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4B4BA3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4B4BA3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4B4BA3" w:rsidRDefault="004B4BA3" w:rsidP="002C3DAC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4B4BA3" w:rsidRPr="0065708A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4B4BA3" w:rsidRPr="0065708A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4B4BA3" w:rsidRPr="0065708A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4B4BA3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4B4BA3" w:rsidRPr="0065708A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4B4BA3" w:rsidRPr="0065708A" w:rsidRDefault="004B4BA3" w:rsidP="002C3DAC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>“</w:t>
      </w:r>
      <w:r>
        <w:rPr>
          <w:rFonts w:ascii="Georgia" w:hAnsi="Georgia" w:cs="Arial"/>
          <w:sz w:val="24"/>
          <w:szCs w:val="24"/>
          <w:lang w:val="en-GB"/>
        </w:rPr>
        <w:t>Helpd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7129FD" w:rsidRPr="005D3611" w:rsidRDefault="004B4BA3" w:rsidP="002C3DAC">
      <w:pPr>
        <w:pStyle w:val="Header"/>
        <w:keepNext/>
        <w:keepLines/>
        <w:bidi w:val="0"/>
        <w:spacing w:before="120" w:after="120"/>
        <w:jc w:val="both"/>
        <w:rPr>
          <w:rFonts w:ascii="Georgia" w:hAnsi="Georgia" w:cs="Arial"/>
          <w:lang w:bidi="ar-OM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</w:t>
      </w:r>
      <w:bookmarkStart w:id="0" w:name="_GoBack"/>
      <w:bookmarkEnd w:id="0"/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7129FD" w:rsidRPr="005D361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E7" w:rsidRDefault="007B55E7" w:rsidP="00213CA8">
      <w:r>
        <w:separator/>
      </w:r>
    </w:p>
  </w:endnote>
  <w:endnote w:type="continuationSeparator" w:id="0">
    <w:p w:rsidR="007B55E7" w:rsidRDefault="007B55E7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41287B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IT-v1.0-1.1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2C3DAC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2C3DAC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E7" w:rsidRDefault="007B55E7" w:rsidP="00213CA8">
      <w:r>
        <w:separator/>
      </w:r>
    </w:p>
  </w:footnote>
  <w:footnote w:type="continuationSeparator" w:id="0">
    <w:p w:rsidR="007B55E7" w:rsidRDefault="007B55E7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41287B">
            <w:rPr>
              <w:rFonts w:ascii="Georgia" w:hAnsi="Georgia" w:cs="Sakkal Majalla"/>
              <w:bCs/>
              <w:color w:val="0000FF"/>
              <w:sz w:val="28"/>
              <w:szCs w:val="28"/>
            </w:rPr>
            <w:t>Strategy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5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3DE7"/>
    <w:rsid w:val="00094B34"/>
    <w:rsid w:val="000A373D"/>
    <w:rsid w:val="000B16C1"/>
    <w:rsid w:val="000B2D64"/>
    <w:rsid w:val="000B59FF"/>
    <w:rsid w:val="000D17E3"/>
    <w:rsid w:val="000D330A"/>
    <w:rsid w:val="000D7D62"/>
    <w:rsid w:val="000E0110"/>
    <w:rsid w:val="000E0A9C"/>
    <w:rsid w:val="000E0F98"/>
    <w:rsid w:val="00102CEE"/>
    <w:rsid w:val="0010790F"/>
    <w:rsid w:val="00125847"/>
    <w:rsid w:val="001537D6"/>
    <w:rsid w:val="001558B5"/>
    <w:rsid w:val="001D5FB8"/>
    <w:rsid w:val="001F2045"/>
    <w:rsid w:val="001F3A6A"/>
    <w:rsid w:val="00212BC6"/>
    <w:rsid w:val="00213CA8"/>
    <w:rsid w:val="00215F25"/>
    <w:rsid w:val="00216B3D"/>
    <w:rsid w:val="00230152"/>
    <w:rsid w:val="002362DA"/>
    <w:rsid w:val="00262ED2"/>
    <w:rsid w:val="00264B2A"/>
    <w:rsid w:val="00282547"/>
    <w:rsid w:val="002842D8"/>
    <w:rsid w:val="002B0AB0"/>
    <w:rsid w:val="002C3DAC"/>
    <w:rsid w:val="002C54CA"/>
    <w:rsid w:val="00302311"/>
    <w:rsid w:val="00331656"/>
    <w:rsid w:val="00336DEC"/>
    <w:rsid w:val="00340B3D"/>
    <w:rsid w:val="003615F9"/>
    <w:rsid w:val="00362A74"/>
    <w:rsid w:val="00362B26"/>
    <w:rsid w:val="00397529"/>
    <w:rsid w:val="003A6C6A"/>
    <w:rsid w:val="003F355B"/>
    <w:rsid w:val="0041287B"/>
    <w:rsid w:val="0042163D"/>
    <w:rsid w:val="004272ED"/>
    <w:rsid w:val="00441603"/>
    <w:rsid w:val="00454C4C"/>
    <w:rsid w:val="0047691C"/>
    <w:rsid w:val="00487286"/>
    <w:rsid w:val="00497379"/>
    <w:rsid w:val="004A0727"/>
    <w:rsid w:val="004A1F6E"/>
    <w:rsid w:val="004B4BA3"/>
    <w:rsid w:val="004C3A87"/>
    <w:rsid w:val="004D11AC"/>
    <w:rsid w:val="004D1E6E"/>
    <w:rsid w:val="004E47FD"/>
    <w:rsid w:val="00504AF7"/>
    <w:rsid w:val="005125F8"/>
    <w:rsid w:val="00513A22"/>
    <w:rsid w:val="00515DCF"/>
    <w:rsid w:val="005300DE"/>
    <w:rsid w:val="00533E8B"/>
    <w:rsid w:val="00535E7F"/>
    <w:rsid w:val="005710DC"/>
    <w:rsid w:val="005877FC"/>
    <w:rsid w:val="00587FBD"/>
    <w:rsid w:val="005B58C9"/>
    <w:rsid w:val="005D3611"/>
    <w:rsid w:val="00605106"/>
    <w:rsid w:val="00654298"/>
    <w:rsid w:val="006544F5"/>
    <w:rsid w:val="0065708A"/>
    <w:rsid w:val="006740D1"/>
    <w:rsid w:val="00675A13"/>
    <w:rsid w:val="006901E1"/>
    <w:rsid w:val="006948BC"/>
    <w:rsid w:val="006A047D"/>
    <w:rsid w:val="006A2F0A"/>
    <w:rsid w:val="006B44D8"/>
    <w:rsid w:val="006B5B89"/>
    <w:rsid w:val="006E1E91"/>
    <w:rsid w:val="007129FD"/>
    <w:rsid w:val="00717FBB"/>
    <w:rsid w:val="00730937"/>
    <w:rsid w:val="00741977"/>
    <w:rsid w:val="0076600E"/>
    <w:rsid w:val="007671B7"/>
    <w:rsid w:val="00770035"/>
    <w:rsid w:val="0077417D"/>
    <w:rsid w:val="00774818"/>
    <w:rsid w:val="00777FE3"/>
    <w:rsid w:val="007806F7"/>
    <w:rsid w:val="007861EB"/>
    <w:rsid w:val="0079213B"/>
    <w:rsid w:val="007A093F"/>
    <w:rsid w:val="007B55E7"/>
    <w:rsid w:val="007C6D21"/>
    <w:rsid w:val="007F2E15"/>
    <w:rsid w:val="007F3C30"/>
    <w:rsid w:val="008316F0"/>
    <w:rsid w:val="008A7190"/>
    <w:rsid w:val="008B5BE2"/>
    <w:rsid w:val="008B5C33"/>
    <w:rsid w:val="008C51AC"/>
    <w:rsid w:val="008E2A46"/>
    <w:rsid w:val="008F552F"/>
    <w:rsid w:val="008F665E"/>
    <w:rsid w:val="008F772B"/>
    <w:rsid w:val="00904698"/>
    <w:rsid w:val="0092649E"/>
    <w:rsid w:val="0094764C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3075"/>
    <w:rsid w:val="009E1733"/>
    <w:rsid w:val="009F453D"/>
    <w:rsid w:val="00A24D7C"/>
    <w:rsid w:val="00A32FB4"/>
    <w:rsid w:val="00A36FE2"/>
    <w:rsid w:val="00A516FB"/>
    <w:rsid w:val="00A65F06"/>
    <w:rsid w:val="00A82B6D"/>
    <w:rsid w:val="00A867D2"/>
    <w:rsid w:val="00A86D6F"/>
    <w:rsid w:val="00AA2607"/>
    <w:rsid w:val="00AA6DAD"/>
    <w:rsid w:val="00AD4D70"/>
    <w:rsid w:val="00AE5FC7"/>
    <w:rsid w:val="00B306C7"/>
    <w:rsid w:val="00B40BC0"/>
    <w:rsid w:val="00B42E1C"/>
    <w:rsid w:val="00B56261"/>
    <w:rsid w:val="00B56D96"/>
    <w:rsid w:val="00B81C7A"/>
    <w:rsid w:val="00B93DF4"/>
    <w:rsid w:val="00BA1A8F"/>
    <w:rsid w:val="00BB2A33"/>
    <w:rsid w:val="00C33229"/>
    <w:rsid w:val="00C457E1"/>
    <w:rsid w:val="00C666B0"/>
    <w:rsid w:val="00CB1C9B"/>
    <w:rsid w:val="00CD68D4"/>
    <w:rsid w:val="00CD6C93"/>
    <w:rsid w:val="00CD7580"/>
    <w:rsid w:val="00CD7708"/>
    <w:rsid w:val="00CE0A78"/>
    <w:rsid w:val="00CF3EAA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15D2"/>
    <w:rsid w:val="00DF6103"/>
    <w:rsid w:val="00E14DCF"/>
    <w:rsid w:val="00E336CB"/>
    <w:rsid w:val="00E42577"/>
    <w:rsid w:val="00E4257C"/>
    <w:rsid w:val="00E61668"/>
    <w:rsid w:val="00E75B43"/>
    <w:rsid w:val="00E85A3B"/>
    <w:rsid w:val="00EA1A01"/>
    <w:rsid w:val="00EA2E78"/>
    <w:rsid w:val="00EB0CAC"/>
    <w:rsid w:val="00EC2175"/>
    <w:rsid w:val="00EE100F"/>
    <w:rsid w:val="00F154EC"/>
    <w:rsid w:val="00F45700"/>
    <w:rsid w:val="00F73B2A"/>
    <w:rsid w:val="00F87444"/>
    <w:rsid w:val="00F9305A"/>
    <w:rsid w:val="00F951D3"/>
    <w:rsid w:val="00FA031E"/>
    <w:rsid w:val="00FA7BAC"/>
    <w:rsid w:val="00FC74D1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0F79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3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9D6-7BB7-4841-95E9-44689637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13</cp:revision>
  <dcterms:created xsi:type="dcterms:W3CDTF">2019-11-05T21:01:00Z</dcterms:created>
  <dcterms:modified xsi:type="dcterms:W3CDTF">2019-11-26T11:03:00Z</dcterms:modified>
</cp:coreProperties>
</file>