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AE2A3C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AE2A3C">
        <w:rPr>
          <w:rFonts w:ascii="Georgia" w:hAnsi="Georgia" w:cs="Sakkal Majalla"/>
          <w:bCs/>
          <w:color w:val="000000"/>
          <w:sz w:val="52"/>
          <w:szCs w:val="52"/>
        </w:rPr>
        <w:t xml:space="preserve">Incident Management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2134C0">
      <w:pPr>
        <w:pStyle w:val="REGA2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2134C0">
        <w:t>to ensure that all incidents that affect or might affect the Authority’s operations or cause a reduction in the quality of one or more of the IT services offered in a timely and effective manner.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2134C0">
      <w:pPr>
        <w:pStyle w:val="REGA2"/>
      </w:pPr>
      <w:r>
        <w:t xml:space="preserve">The procedure starts </w:t>
      </w:r>
      <w:r w:rsidR="002134C0">
        <w:t>with the raised incident request and ends with the resolved incident request and updated activity log.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2134C0" w:rsidRDefault="002134C0" w:rsidP="003F19DC">
      <w:pPr>
        <w:pStyle w:val="REGA3"/>
      </w:pPr>
      <w:r w:rsidRPr="002134C0">
        <w:t xml:space="preserve">The </w:t>
      </w:r>
      <w:r>
        <w:t>Requestor</w:t>
      </w:r>
      <w:r w:rsidRPr="002134C0">
        <w:t xml:space="preserve"> contacts the </w:t>
      </w:r>
      <w:r w:rsidR="003F19DC">
        <w:t>Helpdesk</w:t>
      </w:r>
      <w:r w:rsidRPr="002134C0">
        <w:t xml:space="preserve"> or logs into the </w:t>
      </w:r>
      <w:r w:rsidR="003F19DC">
        <w:t>Helpdesk</w:t>
      </w:r>
      <w:r w:rsidR="003F19DC" w:rsidRPr="002134C0">
        <w:t xml:space="preserve"> </w:t>
      </w:r>
      <w:r w:rsidRPr="002134C0">
        <w:t>portal and raise</w:t>
      </w:r>
      <w:r w:rsidR="003F19DC">
        <w:t>s</w:t>
      </w:r>
      <w:r w:rsidRPr="002134C0">
        <w:t xml:space="preserve"> a ticket with details of the incident.</w:t>
      </w:r>
    </w:p>
    <w:p w:rsidR="002134C0" w:rsidRDefault="002134C0" w:rsidP="003F19DC">
      <w:pPr>
        <w:pStyle w:val="REGA3"/>
      </w:pPr>
      <w:r w:rsidRPr="002134C0">
        <w:t xml:space="preserve">The </w:t>
      </w:r>
      <w:r w:rsidR="003F19DC" w:rsidRPr="003F19DC">
        <w:t xml:space="preserve">IT Helpdesk Specialist </w:t>
      </w:r>
      <w:r w:rsidRPr="002134C0">
        <w:t xml:space="preserve">(First Line of Support) records and reviews details of the incident such as date, time, and issue in the Incident Log. </w:t>
      </w:r>
      <w:r w:rsidR="003F19DC">
        <w:t xml:space="preserve">The </w:t>
      </w:r>
      <w:r w:rsidR="003F19DC" w:rsidRPr="003F19DC">
        <w:t xml:space="preserve">IT Helpdesk Specialist </w:t>
      </w:r>
      <w:r w:rsidR="003F19DC">
        <w:t>a</w:t>
      </w:r>
      <w:r w:rsidRPr="002134C0">
        <w:t>ssign</w:t>
      </w:r>
      <w:r w:rsidR="003F19DC">
        <w:t>s</w:t>
      </w:r>
      <w:r w:rsidRPr="002134C0">
        <w:t xml:space="preserve"> the ticket to the first line of support. The ticket will also be assigned an “In Progress” status in the tracking sheet.</w:t>
      </w:r>
    </w:p>
    <w:p w:rsidR="003F19DC" w:rsidRDefault="003F19DC" w:rsidP="003F19DC">
      <w:pPr>
        <w:pStyle w:val="REGA3"/>
      </w:pPr>
      <w:r w:rsidRPr="003F19DC">
        <w:t>The IT Helpdesk Specialist (First Line of Support) analyses the incident and attempts to resolve it.</w:t>
      </w:r>
    </w:p>
    <w:p w:rsidR="00B32BF5" w:rsidRDefault="002134C0" w:rsidP="002134C0">
      <w:pPr>
        <w:pStyle w:val="REGA3"/>
      </w:pPr>
      <w:r w:rsidRPr="002134C0">
        <w:t>Can the First Line of Support find a solution to the incident</w:t>
      </w:r>
      <w:r>
        <w:t>?</w:t>
      </w:r>
    </w:p>
    <w:p w:rsidR="00AE38FF" w:rsidRDefault="00AE38FF" w:rsidP="003F19DC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</w:t>
      </w:r>
      <w:r w:rsidR="003F19DC">
        <w:t>the incident is resolved</w:t>
      </w:r>
      <w:r w:rsidR="0063236E">
        <w:t>, proceed to step 3.</w:t>
      </w:r>
      <w:r w:rsidR="003F19DC">
        <w:t>10</w:t>
      </w:r>
      <w:r>
        <w:t>.</w:t>
      </w:r>
    </w:p>
    <w:p w:rsidR="00AE38FF" w:rsidRDefault="00AE38FF" w:rsidP="003F19DC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 w:rsidR="008E7DD7"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</w:t>
      </w:r>
      <w:r w:rsidR="008E7DD7">
        <w:t xml:space="preserve">in case </w:t>
      </w:r>
      <w:r w:rsidR="003F19DC" w:rsidRPr="003F19DC">
        <w:t xml:space="preserve">the incident is </w:t>
      </w:r>
      <w:r w:rsidR="003F19DC">
        <w:t xml:space="preserve">not </w:t>
      </w:r>
      <w:r w:rsidR="003F19DC" w:rsidRPr="003F19DC">
        <w:t>resolved</w:t>
      </w:r>
      <w:r w:rsidR="008E7DD7">
        <w:t xml:space="preserve">, </w:t>
      </w:r>
      <w:r w:rsidR="003F19DC">
        <w:t>proceed to step 3.5.</w:t>
      </w:r>
    </w:p>
    <w:p w:rsidR="002134C0" w:rsidRDefault="002134C0" w:rsidP="003F19DC">
      <w:pPr>
        <w:pStyle w:val="REGA3"/>
      </w:pPr>
      <w:r>
        <w:t xml:space="preserve">The </w:t>
      </w:r>
      <w:r w:rsidR="007D53C4">
        <w:t xml:space="preserve">relevant IT Specialist </w:t>
      </w:r>
      <w:r>
        <w:t>(Second Line of Support) analyses the incident and attempts to resolve it.</w:t>
      </w:r>
    </w:p>
    <w:p w:rsidR="002134C0" w:rsidRDefault="002134C0" w:rsidP="002134C0">
      <w:pPr>
        <w:pStyle w:val="REGA3"/>
      </w:pPr>
      <w:r w:rsidRPr="002134C0">
        <w:t>Can the Second Line of Support find a solution to the incident?</w:t>
      </w:r>
    </w:p>
    <w:p w:rsidR="003F19DC" w:rsidRDefault="003F19DC" w:rsidP="003F19DC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incident is resolved, proceed to step 3.10.</w:t>
      </w:r>
    </w:p>
    <w:p w:rsidR="003F19DC" w:rsidRDefault="003F19DC" w:rsidP="003F19DC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in case </w:t>
      </w:r>
      <w:r w:rsidRPr="003F19DC">
        <w:t xml:space="preserve">the incident is </w:t>
      </w:r>
      <w:r>
        <w:t xml:space="preserve">not </w:t>
      </w:r>
      <w:r w:rsidRPr="003F19DC">
        <w:t>resolved</w:t>
      </w:r>
      <w:r>
        <w:t>, proceed to step 3.7.</w:t>
      </w:r>
    </w:p>
    <w:p w:rsidR="002134C0" w:rsidRDefault="002134C0" w:rsidP="007D53C4">
      <w:pPr>
        <w:pStyle w:val="REGA3"/>
      </w:pPr>
      <w:r>
        <w:t xml:space="preserve">The </w:t>
      </w:r>
      <w:r w:rsidR="007D53C4">
        <w:t>relevant Section Manager</w:t>
      </w:r>
      <w:r w:rsidR="003F19DC" w:rsidRPr="003F19DC">
        <w:t xml:space="preserve"> </w:t>
      </w:r>
      <w:r>
        <w:t>analyses the incident and attempts to resolve it.</w:t>
      </w:r>
    </w:p>
    <w:p w:rsidR="002134C0" w:rsidRDefault="002134C0" w:rsidP="003F19DC">
      <w:pPr>
        <w:pStyle w:val="REGA3"/>
      </w:pPr>
      <w:r w:rsidRPr="002134C0">
        <w:t xml:space="preserve">Can the </w:t>
      </w:r>
      <w:r w:rsidR="007D53C4">
        <w:t>relevant Section Manager</w:t>
      </w:r>
      <w:r w:rsidR="003F19DC">
        <w:t xml:space="preserve"> </w:t>
      </w:r>
      <w:r w:rsidRPr="002134C0">
        <w:t>find a solution to the incident?</w:t>
      </w:r>
    </w:p>
    <w:p w:rsidR="003F19DC" w:rsidRDefault="003F19DC" w:rsidP="003F19DC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incident is resolved, proceed to step 3.10.</w:t>
      </w:r>
    </w:p>
    <w:p w:rsidR="003F19DC" w:rsidRDefault="003F19DC" w:rsidP="007D53C4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in case </w:t>
      </w:r>
      <w:r w:rsidRPr="003F19DC">
        <w:t xml:space="preserve">the incident is </w:t>
      </w:r>
      <w:r>
        <w:t xml:space="preserve">not </w:t>
      </w:r>
      <w:r w:rsidRPr="003F19DC">
        <w:t>resolved</w:t>
      </w:r>
      <w:r>
        <w:t xml:space="preserve">, proceed to the </w:t>
      </w:r>
      <w:r w:rsidRPr="003F19DC">
        <w:rPr>
          <w:b/>
          <w:bCs w:val="0"/>
        </w:rPr>
        <w:t>“Problem Management”</w:t>
      </w:r>
      <w:r>
        <w:t xml:space="preserve"> process before continuing to step 3.9.</w:t>
      </w:r>
    </w:p>
    <w:p w:rsidR="002134C0" w:rsidRDefault="002134C0" w:rsidP="003F19DC">
      <w:pPr>
        <w:pStyle w:val="REGA3"/>
      </w:pPr>
      <w:r w:rsidRPr="002134C0">
        <w:lastRenderedPageBreak/>
        <w:t xml:space="preserve">The </w:t>
      </w:r>
      <w:r w:rsidR="007D53C4">
        <w:t xml:space="preserve">relevant IT Specialist </w:t>
      </w:r>
      <w:r w:rsidRPr="002134C0">
        <w:t xml:space="preserve">(Second Line of Support) analyses the reason for not resolving the incident and communicates the action plan (next steps) to the </w:t>
      </w:r>
      <w:r w:rsidR="003F19DC">
        <w:t xml:space="preserve">Requestor </w:t>
      </w:r>
      <w:r w:rsidRPr="002134C0">
        <w:t xml:space="preserve">regarding the incident and its business requirements. </w:t>
      </w:r>
      <w:r w:rsidR="003F19DC" w:rsidRPr="003F19DC">
        <w:rPr>
          <w:b/>
          <w:bCs w:val="0"/>
        </w:rPr>
        <w:t>Process ends</w:t>
      </w:r>
      <w:r w:rsidRPr="003F19DC">
        <w:rPr>
          <w:b/>
          <w:bCs w:val="0"/>
        </w:rPr>
        <w:t>.</w:t>
      </w:r>
      <w:r w:rsidRPr="002134C0">
        <w:t xml:space="preserve"> </w:t>
      </w:r>
    </w:p>
    <w:p w:rsidR="002134C0" w:rsidRDefault="007D53C4" w:rsidP="0072113C">
      <w:pPr>
        <w:pStyle w:val="REGA3"/>
      </w:pPr>
      <w:r>
        <w:t>Does the Requestor object?</w:t>
      </w:r>
    </w:p>
    <w:p w:rsidR="003F19DC" w:rsidRDefault="003F19DC" w:rsidP="007D53C4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A – </w:t>
      </w:r>
      <w:r w:rsidR="007D53C4">
        <w:rPr>
          <w:b/>
          <w:bCs w:val="0"/>
        </w:rPr>
        <w:t>Yes</w:t>
      </w:r>
      <w:r w:rsidRPr="00AE38FF">
        <w:rPr>
          <w:b/>
          <w:bCs w:val="0"/>
        </w:rPr>
        <w:t>;</w:t>
      </w:r>
      <w:r>
        <w:t xml:space="preserve"> in case </w:t>
      </w:r>
      <w:r w:rsidR="0072113C">
        <w:t>the Requestor</w:t>
      </w:r>
      <w:r w:rsidR="007D53C4">
        <w:t xml:space="preserve"> objects and does not believe the incident has been resolved,</w:t>
      </w:r>
      <w:r>
        <w:t xml:space="preserve"> </w:t>
      </w:r>
      <w:r w:rsidR="007D53C4">
        <w:t xml:space="preserve">return to </w:t>
      </w:r>
      <w:r>
        <w:t>3.</w:t>
      </w:r>
      <w:r w:rsidR="007D53C4">
        <w:t>3</w:t>
      </w:r>
      <w:r>
        <w:t>.</w:t>
      </w:r>
    </w:p>
    <w:p w:rsidR="003F19DC" w:rsidRDefault="003F19DC" w:rsidP="007D53C4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>
        <w:t xml:space="preserve"> in case </w:t>
      </w:r>
      <w:r w:rsidRPr="003F19DC">
        <w:t xml:space="preserve">the </w:t>
      </w:r>
      <w:r w:rsidR="007D53C4">
        <w:t>Requestor does not object, proceed to step 3.11.</w:t>
      </w:r>
    </w:p>
    <w:p w:rsidR="002134C0" w:rsidRDefault="002134C0" w:rsidP="0072113C">
      <w:pPr>
        <w:pStyle w:val="REGA3"/>
      </w:pPr>
      <w:r w:rsidRPr="002134C0">
        <w:t xml:space="preserve">The </w:t>
      </w:r>
      <w:r w:rsidR="0072113C" w:rsidRPr="0072113C">
        <w:t>IT Helpdesk Specialist</w:t>
      </w:r>
      <w:r w:rsidRPr="002134C0">
        <w:t xml:space="preserve"> records the details of the service provided by the IT </w:t>
      </w:r>
      <w:r w:rsidR="0072113C">
        <w:t>Department</w:t>
      </w:r>
      <w:r w:rsidRPr="002134C0">
        <w:t xml:space="preserve"> and closes the incident.</w:t>
      </w:r>
    </w:p>
    <w:p w:rsidR="002134C0" w:rsidRDefault="0072113C" w:rsidP="007D53C4">
      <w:pPr>
        <w:pStyle w:val="REGA3"/>
      </w:pPr>
      <w:r>
        <w:t>The</w:t>
      </w:r>
      <w:r w:rsidR="002134C0" w:rsidRPr="002134C0">
        <w:t xml:space="preserve"> </w:t>
      </w:r>
      <w:r w:rsidRPr="0072113C">
        <w:t xml:space="preserve">IT Helpdesk Specialist </w:t>
      </w:r>
      <w:r w:rsidR="002134C0" w:rsidRPr="002134C0">
        <w:t>updates the activity log with the incident accordingly.</w:t>
      </w:r>
    </w:p>
    <w:p w:rsidR="002134C0" w:rsidRDefault="002134C0" w:rsidP="0072113C">
      <w:pPr>
        <w:pStyle w:val="REGA3"/>
      </w:pPr>
      <w:r w:rsidRPr="002134C0">
        <w:t xml:space="preserve">The </w:t>
      </w:r>
      <w:r w:rsidR="007D53C4">
        <w:t>relevant Section Manager</w:t>
      </w:r>
      <w:r w:rsidR="0072113C" w:rsidRPr="0072113C">
        <w:t xml:space="preserve"> </w:t>
      </w:r>
      <w:r w:rsidRPr="002134C0">
        <w:t>conducts a periodic review of the activity log to monitor performance</w:t>
      </w:r>
      <w:r w:rsidR="0072113C">
        <w:t>.</w:t>
      </w:r>
    </w:p>
    <w:p w:rsidR="005B58C9" w:rsidRPr="00487286" w:rsidRDefault="005B58C9" w:rsidP="002134C0">
      <w:pPr>
        <w:pStyle w:val="REGA3"/>
      </w:pPr>
      <w:r w:rsidRPr="00487286">
        <w:br w:type="page"/>
      </w:r>
    </w:p>
    <w:p w:rsidR="00A24D7C" w:rsidRDefault="00AE2A3C" w:rsidP="00AE2A3C">
      <w:pPr>
        <w:pStyle w:val="REGA"/>
      </w:pPr>
      <w:r w:rsidRPr="00AE2A3C">
        <w:lastRenderedPageBreak/>
        <w:t xml:space="preserve">Incident Management </w:t>
      </w:r>
      <w:r w:rsidR="0042163D">
        <w:t>Flowchart</w:t>
      </w:r>
    </w:p>
    <w:p w:rsidR="00904698" w:rsidRDefault="007D53C4" w:rsidP="00904698">
      <w:pPr>
        <w:pStyle w:val="Header"/>
        <w:bidi w:val="0"/>
        <w:ind w:left="360" w:right="468"/>
        <w:rPr>
          <w:rFonts w:ascii="Georgia" w:hAnsi="Georgia" w:cs="Sakkal Majalla"/>
          <w:b/>
          <w:color w:val="000000"/>
          <w:sz w:val="30"/>
          <w:szCs w:val="30"/>
        </w:rPr>
      </w:pPr>
      <w:r>
        <w:object w:dxaOrig="16640" w:dyaOrig="18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507.55pt" o:ole="">
            <v:imagedata r:id="rId8" o:title=""/>
          </v:shape>
          <o:OLEObject Type="Embed" ProgID="Visio.Drawing.15" ShapeID="_x0000_i1025" DrawAspect="Content" ObjectID="_1636298708" r:id="rId9"/>
        </w:object>
      </w:r>
    </w:p>
    <w:p w:rsidR="00904698" w:rsidRDefault="00904698" w:rsidP="005125F8">
      <w:pPr>
        <w:pStyle w:val="Header"/>
        <w:bidi w:val="0"/>
        <w:ind w:right="468"/>
      </w:pP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B11C01" w:rsidP="00AF7412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Percentage of Repeat Incidents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B11C01" w:rsidP="0011683D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>Percentage of incidents that can be classified as a repeat incident relative to all the reported incidents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000A0F" w:rsidRDefault="00B11C01" w:rsidP="0011683D">
            <w:pPr>
              <w:bidi w:val="0"/>
              <w:rPr>
                <w:rFonts w:ascii="Georgia" w:hAnsi="Georgia" w:cs="Sakkal Majalla"/>
                <w:i/>
              </w:rPr>
            </w:pPr>
            <w:r>
              <w:rPr>
                <w:rFonts w:ascii="Georgia" w:hAnsi="Georgia" w:cs="Sakkal Majalla"/>
                <w:i/>
              </w:rPr>
              <w:t>(</w:t>
            </w:r>
            <m:oMath>
              <m:f>
                <m:fPr>
                  <m:ctrlPr>
                    <w:rPr>
                      <w:rFonts w:ascii="Cambria Math" w:hAnsi="Cambria Math" w:cs="Sakkal Majalla"/>
                      <w:i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</w:rPr>
                    <m:t>Number of Repeat Incidents</m:t>
                  </m:r>
                </m:num>
                <m:den>
                  <m:r>
                    <w:rPr>
                      <w:rFonts w:ascii="Cambria Math" w:hAnsi="Cambria Math" w:cs="Sakkal Majalla"/>
                    </w:rPr>
                    <m:t>Number of Reported Incidents</m:t>
                  </m:r>
                </m:den>
              </m:f>
              <m:r>
                <w:rPr>
                  <w:rFonts w:ascii="Cambria Math" w:hAnsi="Cambria Math" w:cs="Sakkal Majalla"/>
                </w:rPr>
                <m:t>)x 100</m:t>
              </m:r>
            </m:oMath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B11C01" w:rsidRPr="00487286" w:rsidTr="00044715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B11C01" w:rsidRPr="00487286" w:rsidRDefault="00B11C01" w:rsidP="00044715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>
              <w:rPr>
                <w:rFonts w:ascii="Georgia" w:hAnsi="Georgia" w:cs="Sakkal Majalla"/>
                <w:b/>
                <w:bCs/>
                <w:color w:val="FFFFFF"/>
              </w:rPr>
              <w:t xml:space="preserve"> 2</w:t>
            </w:r>
          </w:p>
        </w:tc>
      </w:tr>
      <w:tr w:rsidR="00B11C01" w:rsidRPr="00487286" w:rsidTr="00044715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B11C01" w:rsidP="00B11C01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Percentage of Overdue Incidents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B11C01" w:rsidP="00044715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B11C01" w:rsidRPr="00487286" w:rsidTr="00044715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B11C01" w:rsidP="00B11C01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 xml:space="preserve">Percentage of incidents that have exceeded the agreed upon </w:t>
            </w:r>
            <w:r w:rsidR="007D53C4">
              <w:rPr>
                <w:rFonts w:ascii="Georgia" w:hAnsi="Georgia" w:cs="Sakkal Majalla"/>
              </w:rPr>
              <w:t>turnaround</w:t>
            </w:r>
            <w:r>
              <w:rPr>
                <w:rFonts w:ascii="Georgia" w:hAnsi="Georgia" w:cs="Sakkal Majalla"/>
              </w:rPr>
              <w:t xml:space="preserve"> time for resolving incident requests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B11C01" w:rsidP="00044715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B11C01" w:rsidRPr="00487286" w:rsidTr="00044715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000A0F" w:rsidRDefault="00B11C01" w:rsidP="00B11C01">
            <w:pPr>
              <w:bidi w:val="0"/>
              <w:rPr>
                <w:rFonts w:ascii="Georgia" w:hAnsi="Georgia" w:cs="Sakkal Majalla"/>
                <w:i/>
              </w:rPr>
            </w:pPr>
            <w:r>
              <w:rPr>
                <w:rFonts w:ascii="Georgia" w:hAnsi="Georgia" w:cs="Sakkal Majalla"/>
                <w:i/>
              </w:rPr>
              <w:t>(</w:t>
            </w:r>
            <m:oMath>
              <m:f>
                <m:fPr>
                  <m:ctrlPr>
                    <w:rPr>
                      <w:rFonts w:ascii="Cambria Math" w:hAnsi="Cambria Math" w:cs="Sakkal Majalla"/>
                      <w:i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</w:rPr>
                    <m:t>Overdue Incidents</m:t>
                  </m:r>
                </m:num>
                <m:den>
                  <m:r>
                    <w:rPr>
                      <w:rFonts w:ascii="Cambria Math" w:hAnsi="Cambria Math" w:cs="Sakkal Majalla"/>
                    </w:rPr>
                    <m:t>Number of Reported Incidents</m:t>
                  </m:r>
                </m:den>
              </m:f>
              <m:r>
                <w:rPr>
                  <w:rFonts w:ascii="Cambria Math" w:hAnsi="Cambria Math" w:cs="Sakkal Majalla"/>
                </w:rPr>
                <m:t>)x 100</m:t>
              </m:r>
            </m:oMath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1C01" w:rsidRPr="00487286" w:rsidRDefault="00B11C01" w:rsidP="00044715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504AF7" w:rsidRPr="00504AF7" w:rsidRDefault="00504AF7" w:rsidP="00504AF7">
      <w:pPr>
        <w:pStyle w:val="REGA"/>
      </w:pPr>
      <w:r w:rsidRPr="00504AF7">
        <w:lastRenderedPageBreak/>
        <w:t>SLAs</w:t>
      </w:r>
    </w:p>
    <w:tbl>
      <w:tblPr>
        <w:tblW w:w="1007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000" w:firstRow="0" w:lastRow="0" w:firstColumn="0" w:lastColumn="0" w:noHBand="0" w:noVBand="0"/>
      </w:tblPr>
      <w:tblGrid>
        <w:gridCol w:w="3510"/>
        <w:gridCol w:w="1350"/>
        <w:gridCol w:w="2070"/>
        <w:gridCol w:w="3145"/>
      </w:tblGrid>
      <w:tr w:rsidR="00504AF7" w:rsidRPr="00812416" w:rsidTr="004307D4">
        <w:trPr>
          <w:tblHeader/>
        </w:trPr>
        <w:tc>
          <w:tcPr>
            <w:tcW w:w="351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Description of Service</w:t>
            </w:r>
          </w:p>
        </w:tc>
        <w:tc>
          <w:tcPr>
            <w:tcW w:w="135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TAT</w:t>
            </w:r>
          </w:p>
        </w:tc>
        <w:tc>
          <w:tcPr>
            <w:tcW w:w="207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Related Departments</w:t>
            </w:r>
          </w:p>
        </w:tc>
        <w:tc>
          <w:tcPr>
            <w:tcW w:w="3145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Escalation Matrix</w:t>
            </w:r>
          </w:p>
        </w:tc>
      </w:tr>
      <w:tr w:rsidR="0053002F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B11C01" w:rsidP="00B11C01">
            <w:pPr>
              <w:bidi w:val="0"/>
            </w:pPr>
            <w:r>
              <w:t xml:space="preserve">Confirmed </w:t>
            </w:r>
            <w:r w:rsidR="00FD4D68">
              <w:t>Resolving of an IT Incident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Pr="00812416" w:rsidRDefault="0053002F" w:rsidP="000B2FDF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967008" w:rsidP="000B2FDF">
            <w:pPr>
              <w:bidi w:val="0"/>
            </w:pPr>
            <w:r>
              <w:t>Relevant</w:t>
            </w:r>
            <w:r w:rsidR="00FD4D68">
              <w:t xml:space="preserve">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AF7412" w:rsidP="000B2FDF">
            <w:pPr>
              <w:bidi w:val="0"/>
            </w:pPr>
            <w:r>
              <w:t>N/A</w:t>
            </w:r>
          </w:p>
        </w:tc>
      </w:tr>
      <w:tr w:rsidR="00FD4D68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FD4D68" w:rsidRDefault="00FD4D68" w:rsidP="0011683D">
            <w:pPr>
              <w:bidi w:val="0"/>
            </w:pPr>
            <w:r>
              <w:t xml:space="preserve">Providing Confirmation of </w:t>
            </w:r>
            <w:r w:rsidR="00B11C01">
              <w:t>the Resolving of an Incident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FD4D68" w:rsidRPr="00812416" w:rsidRDefault="00FD4D68" w:rsidP="000B2FDF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FD4D68" w:rsidRDefault="00B11C01" w:rsidP="000B2FDF">
            <w:pPr>
              <w:bidi w:val="0"/>
            </w:pPr>
            <w:r>
              <w:t>Relevant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FD4D68" w:rsidRDefault="00B11C01" w:rsidP="000B2FDF">
            <w:pPr>
              <w:bidi w:val="0"/>
            </w:pPr>
            <w:r>
              <w:t xml:space="preserve">Relevant Deputy </w:t>
            </w:r>
            <w:r w:rsidR="007D53C4">
              <w:t>Governor</w:t>
            </w:r>
          </w:p>
        </w:tc>
      </w:tr>
    </w:tbl>
    <w:p w:rsidR="00504AF7" w:rsidRDefault="00504AF7" w:rsidP="00504AF7">
      <w:pPr>
        <w:rPr>
          <w:rFonts w:ascii="Georgia" w:hAnsi="Georgia" w:cs="Calibri"/>
          <w:bCs/>
          <w:lang w:val="en-GB"/>
        </w:rPr>
      </w:pPr>
      <w:bookmarkStart w:id="0" w:name="_GoBack"/>
      <w:bookmarkEnd w:id="0"/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1F3B9A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65708A" w:rsidRP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B11C01" w:rsidRPr="005877FC" w:rsidRDefault="00B11C01" w:rsidP="001F3B9A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65708A" w:rsidRP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65708A" w:rsidRPr="0065708A" w:rsidRDefault="0065708A" w:rsidP="001F3B9A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Level Agreement”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a written agreement between a service provider and the customer that documents the agreed service levels for a service, defining the key service targets and the responsibilities of both parties</w:t>
      </w:r>
      <w:r w:rsidRPr="0065708A">
        <w:rPr>
          <w:rFonts w:ascii="Georgia" w:hAnsi="Georgia" w:cs="Arial"/>
          <w:sz w:val="24"/>
          <w:szCs w:val="24"/>
          <w:lang w:val="en-GB"/>
        </w:rPr>
        <w:t>.</w:t>
      </w:r>
    </w:p>
    <w:p w:rsidR="007129FD" w:rsidRDefault="0065708A" w:rsidP="001F3B9A">
      <w:pPr>
        <w:pStyle w:val="Header"/>
        <w:bidi w:val="0"/>
        <w:spacing w:before="120" w:after="120"/>
        <w:ind w:right="468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p w:rsidR="00B11C01" w:rsidRPr="00B11C01" w:rsidRDefault="00B11C01" w:rsidP="001F3B9A">
      <w:pPr>
        <w:pStyle w:val="REGA2"/>
        <w:spacing w:line="240" w:lineRule="auto"/>
        <w:ind w:left="0"/>
      </w:pPr>
      <w:r w:rsidRPr="009B3CDE">
        <w:rPr>
          <w:b/>
          <w:bCs w:val="0"/>
        </w:rPr>
        <w:t>“Turn</w:t>
      </w:r>
      <w:r>
        <w:rPr>
          <w:b/>
          <w:bCs w:val="0"/>
        </w:rPr>
        <w:t xml:space="preserve">around Time” </w:t>
      </w:r>
      <w:r>
        <w:t xml:space="preserve">means </w:t>
      </w:r>
      <w:r w:rsidRPr="00D71280">
        <w:t xml:space="preserve">the total time taken between the submission of a </w:t>
      </w:r>
      <w:r>
        <w:t>task</w:t>
      </w:r>
      <w:r w:rsidRPr="00D71280">
        <w:t xml:space="preserve"> for execution and the return of the complete output to the </w:t>
      </w:r>
      <w:r>
        <w:t>requestor.</w:t>
      </w:r>
    </w:p>
    <w:sectPr w:rsidR="00B11C01" w:rsidRPr="00B11C0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299" w:rsidRDefault="00CE0299" w:rsidP="00213CA8">
      <w:r>
        <w:separator/>
      </w:r>
    </w:p>
  </w:endnote>
  <w:endnote w:type="continuationSeparator" w:id="0">
    <w:p w:rsidR="00CE0299" w:rsidRDefault="00CE0299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AE2A3C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7D53C4">
            <w:rPr>
              <w:rFonts w:ascii="Verdana" w:eastAsiaTheme="majorEastAsia" w:hAnsi="Verdana" w:cs="Calibri"/>
              <w:sz w:val="14"/>
              <w:szCs w:val="14"/>
            </w:rPr>
            <w:t>5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967008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967008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299" w:rsidRDefault="00CE0299" w:rsidP="00213CA8">
      <w:r>
        <w:separator/>
      </w:r>
    </w:p>
  </w:footnote>
  <w:footnote w:type="continuationSeparator" w:id="0">
    <w:p w:rsidR="00CE0299" w:rsidRDefault="00CE0299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AE2A3C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AE2A3C">
            <w:rPr>
              <w:rFonts w:ascii="Georgia" w:hAnsi="Georgia" w:cs="Sakkal Majalla"/>
              <w:bCs/>
              <w:color w:val="0000FF"/>
              <w:sz w:val="28"/>
              <w:szCs w:val="28"/>
            </w:rPr>
            <w:t>Incident Management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7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4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8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52E98"/>
    <w:rsid w:val="0007035C"/>
    <w:rsid w:val="0007097B"/>
    <w:rsid w:val="00074CE7"/>
    <w:rsid w:val="00083DE7"/>
    <w:rsid w:val="00094B34"/>
    <w:rsid w:val="00097CE0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790F"/>
    <w:rsid w:val="0011683D"/>
    <w:rsid w:val="001209F6"/>
    <w:rsid w:val="00125847"/>
    <w:rsid w:val="00127A2A"/>
    <w:rsid w:val="00132131"/>
    <w:rsid w:val="001537D6"/>
    <w:rsid w:val="00196AA8"/>
    <w:rsid w:val="001D5FB8"/>
    <w:rsid w:val="001F2045"/>
    <w:rsid w:val="001F3A6A"/>
    <w:rsid w:val="001F3B9A"/>
    <w:rsid w:val="00212BC6"/>
    <w:rsid w:val="002134C0"/>
    <w:rsid w:val="00213CA8"/>
    <w:rsid w:val="00216B3D"/>
    <w:rsid w:val="00230152"/>
    <w:rsid w:val="002362DA"/>
    <w:rsid w:val="002510B4"/>
    <w:rsid w:val="00262526"/>
    <w:rsid w:val="00262ED2"/>
    <w:rsid w:val="00282547"/>
    <w:rsid w:val="002842D8"/>
    <w:rsid w:val="002B0AB0"/>
    <w:rsid w:val="002C54CA"/>
    <w:rsid w:val="00302311"/>
    <w:rsid w:val="0031363C"/>
    <w:rsid w:val="00331656"/>
    <w:rsid w:val="00336DEC"/>
    <w:rsid w:val="00340B3D"/>
    <w:rsid w:val="003615F9"/>
    <w:rsid w:val="00362A74"/>
    <w:rsid w:val="00362B26"/>
    <w:rsid w:val="00397529"/>
    <w:rsid w:val="003A6C6A"/>
    <w:rsid w:val="003E48F8"/>
    <w:rsid w:val="003F0BF3"/>
    <w:rsid w:val="003F19DC"/>
    <w:rsid w:val="003F355B"/>
    <w:rsid w:val="004110A0"/>
    <w:rsid w:val="0041287B"/>
    <w:rsid w:val="00421510"/>
    <w:rsid w:val="0042163D"/>
    <w:rsid w:val="004272ED"/>
    <w:rsid w:val="00441603"/>
    <w:rsid w:val="00444ED7"/>
    <w:rsid w:val="00454C4C"/>
    <w:rsid w:val="0047691C"/>
    <w:rsid w:val="00487286"/>
    <w:rsid w:val="00497379"/>
    <w:rsid w:val="004A0727"/>
    <w:rsid w:val="004A1F6E"/>
    <w:rsid w:val="004A2919"/>
    <w:rsid w:val="004B3F2F"/>
    <w:rsid w:val="004C3A87"/>
    <w:rsid w:val="004C7972"/>
    <w:rsid w:val="004D11AC"/>
    <w:rsid w:val="004D1E6E"/>
    <w:rsid w:val="00504AF7"/>
    <w:rsid w:val="005125F8"/>
    <w:rsid w:val="00513A22"/>
    <w:rsid w:val="00515DCF"/>
    <w:rsid w:val="00522C65"/>
    <w:rsid w:val="0053002F"/>
    <w:rsid w:val="00533E8B"/>
    <w:rsid w:val="00535E7F"/>
    <w:rsid w:val="005710DC"/>
    <w:rsid w:val="005877FC"/>
    <w:rsid w:val="00587FBD"/>
    <w:rsid w:val="00592A67"/>
    <w:rsid w:val="005B58C9"/>
    <w:rsid w:val="00605106"/>
    <w:rsid w:val="0063236E"/>
    <w:rsid w:val="00646C01"/>
    <w:rsid w:val="00652668"/>
    <w:rsid w:val="00654298"/>
    <w:rsid w:val="006544F5"/>
    <w:rsid w:val="0065708A"/>
    <w:rsid w:val="006740D1"/>
    <w:rsid w:val="00675A13"/>
    <w:rsid w:val="00686956"/>
    <w:rsid w:val="006901E1"/>
    <w:rsid w:val="006948BC"/>
    <w:rsid w:val="006A047D"/>
    <w:rsid w:val="006A2F0A"/>
    <w:rsid w:val="006B44D8"/>
    <w:rsid w:val="006B5B89"/>
    <w:rsid w:val="006E1E91"/>
    <w:rsid w:val="007129FD"/>
    <w:rsid w:val="00717FBB"/>
    <w:rsid w:val="0072113C"/>
    <w:rsid w:val="007251D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61EB"/>
    <w:rsid w:val="0079213B"/>
    <w:rsid w:val="007A093F"/>
    <w:rsid w:val="007B3446"/>
    <w:rsid w:val="007B520C"/>
    <w:rsid w:val="007C6D21"/>
    <w:rsid w:val="007D53C4"/>
    <w:rsid w:val="007F2E15"/>
    <w:rsid w:val="007F3C30"/>
    <w:rsid w:val="00807DA7"/>
    <w:rsid w:val="008316F0"/>
    <w:rsid w:val="00841367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772B"/>
    <w:rsid w:val="00904698"/>
    <w:rsid w:val="0092649E"/>
    <w:rsid w:val="0094764C"/>
    <w:rsid w:val="00964D18"/>
    <w:rsid w:val="00967008"/>
    <w:rsid w:val="0097096C"/>
    <w:rsid w:val="0097119E"/>
    <w:rsid w:val="00977024"/>
    <w:rsid w:val="00983383"/>
    <w:rsid w:val="00984AEE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516FB"/>
    <w:rsid w:val="00A64462"/>
    <w:rsid w:val="00A65F06"/>
    <w:rsid w:val="00A82B6D"/>
    <w:rsid w:val="00A867D2"/>
    <w:rsid w:val="00A86D6F"/>
    <w:rsid w:val="00AA2607"/>
    <w:rsid w:val="00AA6DAD"/>
    <w:rsid w:val="00AD4D70"/>
    <w:rsid w:val="00AE2A3C"/>
    <w:rsid w:val="00AE38FF"/>
    <w:rsid w:val="00AE512A"/>
    <w:rsid w:val="00AE5FC7"/>
    <w:rsid w:val="00AF7412"/>
    <w:rsid w:val="00B11C01"/>
    <w:rsid w:val="00B306C7"/>
    <w:rsid w:val="00B32BF5"/>
    <w:rsid w:val="00B40BC0"/>
    <w:rsid w:val="00B42E1C"/>
    <w:rsid w:val="00B56261"/>
    <w:rsid w:val="00B56D96"/>
    <w:rsid w:val="00B81C7A"/>
    <w:rsid w:val="00B93DF4"/>
    <w:rsid w:val="00BA1A8F"/>
    <w:rsid w:val="00BB2A33"/>
    <w:rsid w:val="00BB313A"/>
    <w:rsid w:val="00BF5312"/>
    <w:rsid w:val="00C33229"/>
    <w:rsid w:val="00C457E1"/>
    <w:rsid w:val="00C666B0"/>
    <w:rsid w:val="00C74E0F"/>
    <w:rsid w:val="00CB1C9B"/>
    <w:rsid w:val="00CD6C93"/>
    <w:rsid w:val="00CD7580"/>
    <w:rsid w:val="00CD7708"/>
    <w:rsid w:val="00CE0299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15D2"/>
    <w:rsid w:val="00DF6103"/>
    <w:rsid w:val="00E14DCF"/>
    <w:rsid w:val="00E336CB"/>
    <w:rsid w:val="00E42577"/>
    <w:rsid w:val="00E4257C"/>
    <w:rsid w:val="00E61668"/>
    <w:rsid w:val="00E75B43"/>
    <w:rsid w:val="00E85A3B"/>
    <w:rsid w:val="00EA1A01"/>
    <w:rsid w:val="00EA2E78"/>
    <w:rsid w:val="00EC2175"/>
    <w:rsid w:val="00EE100F"/>
    <w:rsid w:val="00F154EC"/>
    <w:rsid w:val="00F247BB"/>
    <w:rsid w:val="00F45700"/>
    <w:rsid w:val="00F73B2A"/>
    <w:rsid w:val="00F87444"/>
    <w:rsid w:val="00F9305A"/>
    <w:rsid w:val="00F951D3"/>
    <w:rsid w:val="00FA031E"/>
    <w:rsid w:val="00FA7BAC"/>
    <w:rsid w:val="00FC3D1B"/>
    <w:rsid w:val="00FC74D1"/>
    <w:rsid w:val="00FD4D68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5B4FE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18739-DEEE-4DEA-AC0E-CC9EB0D3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9</cp:revision>
  <dcterms:created xsi:type="dcterms:W3CDTF">2019-11-11T10:24:00Z</dcterms:created>
  <dcterms:modified xsi:type="dcterms:W3CDTF">2019-11-26T14:39:00Z</dcterms:modified>
</cp:coreProperties>
</file>