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C5726A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C5726A">
        <w:rPr>
          <w:rFonts w:ascii="Georgia" w:hAnsi="Georgia" w:cs="Sakkal Majalla"/>
          <w:bCs/>
          <w:color w:val="000000"/>
          <w:sz w:val="52"/>
          <w:szCs w:val="52"/>
        </w:rPr>
        <w:t>Service Request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B01927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be able to </w:t>
      </w:r>
      <w:r w:rsidR="00B01927">
        <w:t>respond to and resolve standard service requests which have a pre-defined approval and qualification process.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B01927">
      <w:pPr>
        <w:pStyle w:val="REGA2"/>
      </w:pPr>
      <w:r>
        <w:t xml:space="preserve">The procedure starts </w:t>
      </w:r>
      <w:r w:rsidR="002134C0">
        <w:t xml:space="preserve">with the raised </w:t>
      </w:r>
      <w:r w:rsidR="00B01927">
        <w:t>service request</w:t>
      </w:r>
      <w:r w:rsidR="006F3871">
        <w:t xml:space="preserve"> ticket and ends with the resolved </w:t>
      </w:r>
      <w:r w:rsidR="00B01927">
        <w:t xml:space="preserve">service request </w:t>
      </w:r>
      <w:r w:rsidR="006F3871">
        <w:t xml:space="preserve">and </w:t>
      </w:r>
      <w:r w:rsidR="00B01927">
        <w:t>updated activity log</w:t>
      </w:r>
      <w:r w:rsidR="006F3871">
        <w:t>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08256C" w:rsidRDefault="0008256C" w:rsidP="001E536A">
      <w:pPr>
        <w:pStyle w:val="REGA3"/>
      </w:pPr>
      <w:r>
        <w:t xml:space="preserve">The </w:t>
      </w:r>
      <w:r w:rsidR="001E536A">
        <w:t>Requestor send a service request to the Authority IT Helpdesk.</w:t>
      </w:r>
    </w:p>
    <w:p w:rsidR="001E536A" w:rsidRDefault="001E536A" w:rsidP="001E536A">
      <w:pPr>
        <w:pStyle w:val="REGA3"/>
      </w:pPr>
      <w:r>
        <w:t>The Helpdesk Specialist (First Line of Support) ensures all the necessary approvals are in process as per the IT policy and procedures.</w:t>
      </w:r>
    </w:p>
    <w:p w:rsidR="001E536A" w:rsidRPr="00103F77" w:rsidRDefault="00103F77" w:rsidP="00103F77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</w:t>
      </w:r>
      <w:r w:rsidR="001E536A" w:rsidRPr="00103F77">
        <w:rPr>
          <w:b/>
          <w:bCs w:val="0"/>
        </w:rPr>
        <w:t>Yes</w:t>
      </w:r>
      <w:r w:rsidRPr="00103F77">
        <w:rPr>
          <w:b/>
          <w:bCs w:val="0"/>
        </w:rPr>
        <w:t>;</w:t>
      </w:r>
      <w:r w:rsidR="001E536A" w:rsidRPr="00103F77">
        <w:rPr>
          <w:b/>
          <w:bCs w:val="0"/>
        </w:rPr>
        <w:t xml:space="preserve"> </w:t>
      </w:r>
      <w:r w:rsidR="00B16A93">
        <w:t>in case the request has the necessary approvals, proceed to step 3.4.</w:t>
      </w:r>
    </w:p>
    <w:p w:rsidR="001E536A" w:rsidRPr="00103F77" w:rsidRDefault="00103F77" w:rsidP="00B16A93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B – </w:t>
      </w:r>
      <w:r w:rsidR="001E536A" w:rsidRPr="00103F77">
        <w:rPr>
          <w:b/>
          <w:bCs w:val="0"/>
        </w:rPr>
        <w:t>No</w:t>
      </w:r>
      <w:r w:rsidRPr="00103F77">
        <w:rPr>
          <w:b/>
          <w:bCs w:val="0"/>
        </w:rPr>
        <w:t>;</w:t>
      </w:r>
      <w:r w:rsidR="00B16A93">
        <w:rPr>
          <w:b/>
          <w:bCs w:val="0"/>
        </w:rPr>
        <w:t xml:space="preserve"> </w:t>
      </w:r>
      <w:r w:rsidR="00B16A93">
        <w:t>in case the request does not have the necessary approvals, proceed to step 3.3.</w:t>
      </w:r>
    </w:p>
    <w:p w:rsidR="001E536A" w:rsidRDefault="001E536A" w:rsidP="00B16A93">
      <w:pPr>
        <w:pStyle w:val="REGA3"/>
      </w:pPr>
      <w:r>
        <w:t xml:space="preserve">The </w:t>
      </w:r>
      <w:r w:rsidR="00B16A93">
        <w:t xml:space="preserve">Helpdesk Specialist (First Line of Support) </w:t>
      </w:r>
      <w:r>
        <w:t>notifies the Requestor that the appropriate approvals are not in place.</w:t>
      </w:r>
    </w:p>
    <w:p w:rsidR="001E536A" w:rsidRDefault="001E536A" w:rsidP="001E536A">
      <w:pPr>
        <w:pStyle w:val="REGA3"/>
      </w:pPr>
      <w:r>
        <w:t>The Helpdesk Specialist (First Line of Support) registers the Service Request and then assigns a priority level and assigns the concerned staff within the IT Department.</w:t>
      </w:r>
    </w:p>
    <w:p w:rsidR="001E536A" w:rsidRDefault="001E536A" w:rsidP="001E536A">
      <w:pPr>
        <w:pStyle w:val="REGA3"/>
      </w:pPr>
      <w:r>
        <w:t xml:space="preserve">The </w:t>
      </w:r>
      <w:r w:rsidR="00AF490C">
        <w:t>relevant IT Specialist</w:t>
      </w:r>
      <w:r>
        <w:t xml:space="preserve"> (Second line of Support) checks whether third-party supplier involvement is required to respond to this Service Request.</w:t>
      </w:r>
    </w:p>
    <w:p w:rsidR="00103F77" w:rsidRPr="00103F77" w:rsidRDefault="00103F77" w:rsidP="00103F77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Yes; </w:t>
      </w:r>
      <w:r w:rsidR="00B16A93" w:rsidRPr="00B16A93">
        <w:t>in case</w:t>
      </w:r>
      <w:r w:rsidR="00B16A93">
        <w:rPr>
          <w:b/>
          <w:bCs w:val="0"/>
        </w:rPr>
        <w:t xml:space="preserve"> </w:t>
      </w:r>
      <w:r w:rsidR="00B16A93">
        <w:t>third-party supplier involvement is required, proceed to step 3.6.</w:t>
      </w:r>
    </w:p>
    <w:p w:rsidR="00103F77" w:rsidRPr="00103F77" w:rsidRDefault="00103F77" w:rsidP="00B16A93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>Case B – No;</w:t>
      </w:r>
      <w:r w:rsidR="00B16A93" w:rsidRPr="00B16A93">
        <w:t xml:space="preserve"> </w:t>
      </w:r>
      <w:r w:rsidR="00B16A93">
        <w:t>in case third-party supplier involvement is not required, proceed to step 3.7.</w:t>
      </w:r>
    </w:p>
    <w:p w:rsidR="001E536A" w:rsidRDefault="001E536A" w:rsidP="00AF490C">
      <w:pPr>
        <w:pStyle w:val="REGA3"/>
      </w:pPr>
      <w:r>
        <w:t xml:space="preserve">The </w:t>
      </w:r>
      <w:r w:rsidR="00AF490C">
        <w:t>relevant Section Manager</w:t>
      </w:r>
      <w:r>
        <w:t xml:space="preserve"> utilizes existing service agreements with third-party suppliers in case of additional service requirements. Proceed to step </w:t>
      </w:r>
      <w:r w:rsidR="00B16A93">
        <w:t>3.</w:t>
      </w:r>
      <w:r>
        <w:t>8.</w:t>
      </w:r>
    </w:p>
    <w:p w:rsidR="001E536A" w:rsidRDefault="001E536A" w:rsidP="001E536A">
      <w:pPr>
        <w:pStyle w:val="REGA3"/>
      </w:pPr>
      <w:r>
        <w:lastRenderedPageBreak/>
        <w:t xml:space="preserve">The </w:t>
      </w:r>
      <w:r w:rsidR="00AF490C">
        <w:t>relevant IT Specialist</w:t>
      </w:r>
      <w:r>
        <w:t xml:space="preserve"> (Second line of Support) executes the IT service as per the required scope. </w:t>
      </w:r>
    </w:p>
    <w:p w:rsidR="001E536A" w:rsidRDefault="00AF490C" w:rsidP="00AF490C">
      <w:pPr>
        <w:pStyle w:val="REGA3"/>
      </w:pPr>
      <w:r>
        <w:t xml:space="preserve">Does the </w:t>
      </w:r>
      <w:r w:rsidR="001E536A">
        <w:t>Requestor</w:t>
      </w:r>
      <w:r>
        <w:t xml:space="preserve"> object?</w:t>
      </w:r>
    </w:p>
    <w:p w:rsidR="00103F77" w:rsidRPr="00103F77" w:rsidRDefault="00103F77" w:rsidP="00AF490C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</w:t>
      </w:r>
      <w:r w:rsidR="00AF490C">
        <w:rPr>
          <w:b/>
          <w:bCs w:val="0"/>
        </w:rPr>
        <w:t>Yes</w:t>
      </w:r>
      <w:r w:rsidRPr="00103F77">
        <w:rPr>
          <w:b/>
          <w:bCs w:val="0"/>
        </w:rPr>
        <w:t xml:space="preserve">; </w:t>
      </w:r>
      <w:r w:rsidR="00B16A93">
        <w:t xml:space="preserve">in case the Requestor </w:t>
      </w:r>
      <w:r w:rsidR="00AF490C">
        <w:t>objects</w:t>
      </w:r>
      <w:r w:rsidR="00B16A93">
        <w:t xml:space="preserve">, </w:t>
      </w:r>
      <w:r w:rsidR="00AF490C">
        <w:t>return to step 3.5</w:t>
      </w:r>
      <w:r w:rsidR="00B16A93">
        <w:t>.</w:t>
      </w:r>
    </w:p>
    <w:p w:rsidR="00B16A93" w:rsidRPr="00103F77" w:rsidRDefault="00103F77" w:rsidP="00AF490C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>Case B –</w:t>
      </w:r>
      <w:r w:rsidR="00AF490C">
        <w:rPr>
          <w:b/>
          <w:bCs w:val="0"/>
        </w:rPr>
        <w:t xml:space="preserve"> No</w:t>
      </w:r>
      <w:r w:rsidRPr="00103F77">
        <w:rPr>
          <w:b/>
          <w:bCs w:val="0"/>
        </w:rPr>
        <w:t>;</w:t>
      </w:r>
      <w:r w:rsidR="00B16A93">
        <w:rPr>
          <w:b/>
          <w:bCs w:val="0"/>
        </w:rPr>
        <w:t xml:space="preserve"> </w:t>
      </w:r>
      <w:r w:rsidR="00B16A93">
        <w:t xml:space="preserve">in case the Requestor does not </w:t>
      </w:r>
      <w:r w:rsidR="00AF490C">
        <w:t>object, return to step 3.9</w:t>
      </w:r>
      <w:r w:rsidR="00B16A93">
        <w:t>.</w:t>
      </w:r>
    </w:p>
    <w:p w:rsidR="001E536A" w:rsidRDefault="001E536A" w:rsidP="001E536A">
      <w:pPr>
        <w:pStyle w:val="REGA3"/>
      </w:pPr>
      <w:r>
        <w:t xml:space="preserve">The </w:t>
      </w:r>
      <w:r w:rsidR="00AF490C">
        <w:t>relevant IT Specialist</w:t>
      </w:r>
      <w:r>
        <w:t xml:space="preserve"> closes the service request after having received confirmation from the Business User and update the activity log with details of the incident.</w:t>
      </w:r>
    </w:p>
    <w:p w:rsidR="005B58C9" w:rsidRPr="00487286" w:rsidRDefault="001E536A" w:rsidP="00AF490C">
      <w:pPr>
        <w:pStyle w:val="REGA3"/>
      </w:pPr>
      <w:r>
        <w:t xml:space="preserve">The </w:t>
      </w:r>
      <w:r w:rsidR="00AF490C">
        <w:t xml:space="preserve">relevant Section Manager </w:t>
      </w:r>
      <w:r>
        <w:t>conducts a Periodic Review of the activity log to monitor performance.</w:t>
      </w:r>
      <w:r w:rsidR="005B58C9" w:rsidRPr="00487286">
        <w:br w:type="page"/>
      </w:r>
    </w:p>
    <w:p w:rsidR="00A24D7C" w:rsidRDefault="00C5726A" w:rsidP="00C5726A">
      <w:pPr>
        <w:pStyle w:val="REGA"/>
      </w:pPr>
      <w:r>
        <w:lastRenderedPageBreak/>
        <w:t xml:space="preserve">Service </w:t>
      </w:r>
      <w:r w:rsidR="00234CF8" w:rsidRPr="00234CF8">
        <w:t xml:space="preserve">Request </w:t>
      </w:r>
      <w:r w:rsidR="0042163D">
        <w:t>Flowchart</w:t>
      </w:r>
    </w:p>
    <w:p w:rsidR="001B073F" w:rsidRDefault="00AF490C" w:rsidP="00904698">
      <w:pPr>
        <w:pStyle w:val="Header"/>
        <w:bidi w:val="0"/>
        <w:ind w:left="360" w:right="468"/>
      </w:pPr>
      <w:r>
        <w:object w:dxaOrig="16640" w:dyaOrig="1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55pt" o:ole="">
            <v:imagedata r:id="rId8" o:title=""/>
          </v:shape>
          <o:OLEObject Type="Embed" ProgID="Visio.Drawing.15" ShapeID="_x0000_i1025" DrawAspect="Content" ObjectID="_1636298778" r:id="rId9"/>
        </w:object>
      </w:r>
    </w:p>
    <w:p w:rsidR="001B073F" w:rsidRDefault="001B073F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705B5B" w:rsidP="001709F4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 xml:space="preserve">Percentage </w:t>
            </w:r>
            <w:r w:rsidR="001709F4">
              <w:rPr>
                <w:rFonts w:ascii="Georgia" w:hAnsi="Georgia" w:cs="Sakkal Majalla"/>
              </w:rPr>
              <w:t>of Overdue Service Requests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1709F4" w:rsidP="001709F4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The percentage of service requests that have been resolved with delays past the agreed upon turnaround time.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1709F4" w:rsidRDefault="001E5F95" w:rsidP="001709F4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</w:rPr>
                          <m:t>Number of Overdue Service Requests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</w:rPr>
                          <m:t>Total Number of Service Requests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</w:rPr>
                  <m:t>x100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B53D35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3D35" w:rsidRDefault="00103F77" w:rsidP="00B53D35">
            <w:pPr>
              <w:bidi w:val="0"/>
            </w:pPr>
            <w:r>
              <w:t>Fulfilment of Service Request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3D35" w:rsidRDefault="00B53D35" w:rsidP="00103F77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3D35" w:rsidRDefault="00FE1883" w:rsidP="00FE1883">
            <w:pPr>
              <w:bidi w:val="0"/>
              <w:spacing w:line="256" w:lineRule="auto"/>
            </w:pPr>
            <w:r>
              <w:t>Relevant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3D35" w:rsidRDefault="00103F77" w:rsidP="00B53D35">
            <w:pPr>
              <w:bidi w:val="0"/>
            </w:pPr>
            <w:r>
              <w:t>N/A</w:t>
            </w:r>
          </w:p>
        </w:tc>
      </w:tr>
      <w:tr w:rsidR="00103F77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103F77" w:rsidRDefault="00103F77" w:rsidP="00B53D35">
            <w:pPr>
              <w:bidi w:val="0"/>
            </w:pPr>
            <w:r>
              <w:t>Providing Confirmation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103F77" w:rsidRDefault="00103F77" w:rsidP="00103F77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103F77" w:rsidRDefault="00103F77" w:rsidP="00B53D35">
            <w:pPr>
              <w:bidi w:val="0"/>
            </w:pPr>
            <w:r>
              <w:t>Relevant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103F77" w:rsidRDefault="00103F77" w:rsidP="00B53D35">
            <w:pPr>
              <w:bidi w:val="0"/>
            </w:pPr>
            <w:r>
              <w:t>Relevant Deputy 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</w:t>
      </w:r>
      <w:bookmarkStart w:id="0" w:name="_GoBack"/>
      <w:bookmarkEnd w:id="0"/>
      <w:r w:rsidRPr="0065708A">
        <w:rPr>
          <w:rFonts w:ascii="Georgia" w:hAnsi="Georgia" w:cs="Arial"/>
          <w:b w:val="0"/>
          <w:sz w:val="24"/>
          <w:szCs w:val="24"/>
          <w:lang w:val="en-GB"/>
        </w:rPr>
        <w:t>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AF490C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AF490C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65708A" w:rsidRPr="0065708A" w:rsidRDefault="0065708A" w:rsidP="00AF490C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65708A">
        <w:rPr>
          <w:rFonts w:ascii="Georgia" w:hAnsi="Georgia" w:cs="Arial"/>
          <w:sz w:val="24"/>
          <w:szCs w:val="24"/>
          <w:lang w:val="en-GB"/>
        </w:rPr>
        <w:t>.</w:t>
      </w:r>
    </w:p>
    <w:p w:rsidR="007129FD" w:rsidRDefault="0065708A" w:rsidP="00AF490C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B11C01" w:rsidRPr="00B11C01" w:rsidRDefault="00B11C01" w:rsidP="00AF490C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sectPr w:rsidR="00B11C01" w:rsidRPr="00B11C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F95" w:rsidRDefault="001E5F95" w:rsidP="00213CA8">
      <w:r>
        <w:separator/>
      </w:r>
    </w:p>
  </w:endnote>
  <w:endnote w:type="continuationSeparator" w:id="0">
    <w:p w:rsidR="001E5F95" w:rsidRDefault="001E5F95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AE2A3C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C5726A">
            <w:rPr>
              <w:rFonts w:ascii="Verdana" w:eastAsiaTheme="majorEastAsia" w:hAnsi="Verdana" w:cs="Calibri"/>
              <w:sz w:val="14"/>
              <w:szCs w:val="14"/>
            </w:rPr>
            <w:t>8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FE1883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FE1883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F95" w:rsidRDefault="001E5F95" w:rsidP="00213CA8">
      <w:r>
        <w:separator/>
      </w:r>
    </w:p>
  </w:footnote>
  <w:footnote w:type="continuationSeparator" w:id="0">
    <w:p w:rsidR="001E5F95" w:rsidRDefault="001E5F95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C5726A" w:rsidP="00C5726A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Service Request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256C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3F77"/>
    <w:rsid w:val="0010790F"/>
    <w:rsid w:val="0011683D"/>
    <w:rsid w:val="00125847"/>
    <w:rsid w:val="00127A2A"/>
    <w:rsid w:val="00132131"/>
    <w:rsid w:val="001537D6"/>
    <w:rsid w:val="001709F4"/>
    <w:rsid w:val="00196AA8"/>
    <w:rsid w:val="001B073F"/>
    <w:rsid w:val="001D5FB8"/>
    <w:rsid w:val="001E536A"/>
    <w:rsid w:val="001E5F95"/>
    <w:rsid w:val="001F2045"/>
    <w:rsid w:val="001F3A6A"/>
    <w:rsid w:val="00212BC6"/>
    <w:rsid w:val="002134C0"/>
    <w:rsid w:val="00213CA8"/>
    <w:rsid w:val="00216B3D"/>
    <w:rsid w:val="00230152"/>
    <w:rsid w:val="00234CF8"/>
    <w:rsid w:val="002362DA"/>
    <w:rsid w:val="002510B4"/>
    <w:rsid w:val="00262526"/>
    <w:rsid w:val="00262ED2"/>
    <w:rsid w:val="00282547"/>
    <w:rsid w:val="002842D8"/>
    <w:rsid w:val="002B0AB0"/>
    <w:rsid w:val="002C54CA"/>
    <w:rsid w:val="002E03ED"/>
    <w:rsid w:val="00302311"/>
    <w:rsid w:val="0031363C"/>
    <w:rsid w:val="00331656"/>
    <w:rsid w:val="00336DEC"/>
    <w:rsid w:val="00340B3D"/>
    <w:rsid w:val="003615F9"/>
    <w:rsid w:val="00362A74"/>
    <w:rsid w:val="00362B26"/>
    <w:rsid w:val="00384306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504AF7"/>
    <w:rsid w:val="005125F8"/>
    <w:rsid w:val="00513A22"/>
    <w:rsid w:val="00515DCF"/>
    <w:rsid w:val="00522C65"/>
    <w:rsid w:val="0053002F"/>
    <w:rsid w:val="00533E8B"/>
    <w:rsid w:val="00535E7F"/>
    <w:rsid w:val="005710DC"/>
    <w:rsid w:val="005877FC"/>
    <w:rsid w:val="00587FBD"/>
    <w:rsid w:val="00592A67"/>
    <w:rsid w:val="005B4A21"/>
    <w:rsid w:val="005B58C9"/>
    <w:rsid w:val="00605106"/>
    <w:rsid w:val="0063236E"/>
    <w:rsid w:val="00646C01"/>
    <w:rsid w:val="00652668"/>
    <w:rsid w:val="00654298"/>
    <w:rsid w:val="006544F5"/>
    <w:rsid w:val="0065708A"/>
    <w:rsid w:val="006740D1"/>
    <w:rsid w:val="00675A13"/>
    <w:rsid w:val="00686956"/>
    <w:rsid w:val="006901E1"/>
    <w:rsid w:val="006948BC"/>
    <w:rsid w:val="006A047D"/>
    <w:rsid w:val="006A2F0A"/>
    <w:rsid w:val="006B44D8"/>
    <w:rsid w:val="006B5B89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B3446"/>
    <w:rsid w:val="007B520C"/>
    <w:rsid w:val="007C6D21"/>
    <w:rsid w:val="007F2E15"/>
    <w:rsid w:val="007F3C30"/>
    <w:rsid w:val="00807DA7"/>
    <w:rsid w:val="008316F0"/>
    <w:rsid w:val="00841367"/>
    <w:rsid w:val="008A7190"/>
    <w:rsid w:val="008B5BE2"/>
    <w:rsid w:val="008B5C33"/>
    <w:rsid w:val="008C2B9E"/>
    <w:rsid w:val="008C51AC"/>
    <w:rsid w:val="008D06D4"/>
    <w:rsid w:val="008E2A46"/>
    <w:rsid w:val="008E7DD7"/>
    <w:rsid w:val="008F552F"/>
    <w:rsid w:val="008F665E"/>
    <w:rsid w:val="008F772B"/>
    <w:rsid w:val="00904698"/>
    <w:rsid w:val="0092649E"/>
    <w:rsid w:val="00932492"/>
    <w:rsid w:val="0094764C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37F39"/>
    <w:rsid w:val="00A515AD"/>
    <w:rsid w:val="00A516FB"/>
    <w:rsid w:val="00A65F06"/>
    <w:rsid w:val="00A72B20"/>
    <w:rsid w:val="00A82B6D"/>
    <w:rsid w:val="00A867D2"/>
    <w:rsid w:val="00A86D6F"/>
    <w:rsid w:val="00AA2607"/>
    <w:rsid w:val="00AA6DAD"/>
    <w:rsid w:val="00AD4D70"/>
    <w:rsid w:val="00AE2A3C"/>
    <w:rsid w:val="00AE38FF"/>
    <w:rsid w:val="00AE512A"/>
    <w:rsid w:val="00AE5FC7"/>
    <w:rsid w:val="00AF490C"/>
    <w:rsid w:val="00AF7412"/>
    <w:rsid w:val="00B01927"/>
    <w:rsid w:val="00B11C01"/>
    <w:rsid w:val="00B16A93"/>
    <w:rsid w:val="00B306C7"/>
    <w:rsid w:val="00B32BF5"/>
    <w:rsid w:val="00B40BC0"/>
    <w:rsid w:val="00B42E1C"/>
    <w:rsid w:val="00B53D35"/>
    <w:rsid w:val="00B56261"/>
    <w:rsid w:val="00B56D96"/>
    <w:rsid w:val="00B81C7A"/>
    <w:rsid w:val="00B93DF4"/>
    <w:rsid w:val="00BA1A8F"/>
    <w:rsid w:val="00BB2A33"/>
    <w:rsid w:val="00BB313A"/>
    <w:rsid w:val="00BE0D4B"/>
    <w:rsid w:val="00BF5312"/>
    <w:rsid w:val="00C33229"/>
    <w:rsid w:val="00C457E1"/>
    <w:rsid w:val="00C5726A"/>
    <w:rsid w:val="00C666B0"/>
    <w:rsid w:val="00CB1C9B"/>
    <w:rsid w:val="00CB4D5E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E100F"/>
    <w:rsid w:val="00F154EC"/>
    <w:rsid w:val="00F247BB"/>
    <w:rsid w:val="00F45700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1883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7FD5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FE7F-26F8-4278-A87B-FFD84173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12</cp:revision>
  <dcterms:created xsi:type="dcterms:W3CDTF">2019-11-11T12:27:00Z</dcterms:created>
  <dcterms:modified xsi:type="dcterms:W3CDTF">2019-11-26T14:40:00Z</dcterms:modified>
</cp:coreProperties>
</file>