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3763559"/>
        <w:docPartObj>
          <w:docPartGallery w:val="Cover Pages"/>
          <w:docPartUnique/>
        </w:docPartObj>
      </w:sdtPr>
      <w:sdtContent>
        <w:p w:rsidR="0014354B" w:rsidRDefault="001435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9D2D1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mk&#10;Mz6WBQAApB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354B" w:rsidRPr="00623D4E" w:rsidRDefault="0014354B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23D4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Javad Durrani</w:t>
                                    </w:r>
                                    <w:r w:rsidR="00623D4E" w:rsidRPr="00623D4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Mohammed </w:t>
                                    </w:r>
                                    <w:proofErr w:type="spellStart"/>
                                    <w:r w:rsidR="00623D4E" w:rsidRPr="00623D4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Amayri</w:t>
                                    </w:r>
                                    <w:proofErr w:type="spellEnd"/>
                                    <w:r w:rsidR="00623D4E" w:rsidRPr="00623D4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 AMA</w:t>
                                    </w:r>
                                  </w:p>
                                </w:sdtContent>
                              </w:sdt>
                              <w:p w:rsidR="0014354B" w:rsidRDefault="0014354B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[E-postadress]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354B" w:rsidRPr="00623D4E" w:rsidRDefault="0014354B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23D4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Javad Durrani</w:t>
                              </w:r>
                              <w:r w:rsidR="00623D4E" w:rsidRPr="00623D4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Mohammed </w:t>
                              </w:r>
                              <w:proofErr w:type="spellStart"/>
                              <w:r w:rsidR="00623D4E" w:rsidRPr="00623D4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Amayri</w:t>
                              </w:r>
                              <w:proofErr w:type="spellEnd"/>
                              <w:r w:rsidR="00623D4E" w:rsidRPr="00623D4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 AMA</w:t>
                              </w:r>
                            </w:p>
                          </w:sdtContent>
                        </w:sdt>
                        <w:p w:rsidR="0014354B" w:rsidRDefault="0014354B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[E-postadress]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54B" w:rsidRDefault="0014354B">
                                <w:pPr>
                                  <w:pStyle w:val="Ingetavst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4354B" w:rsidRDefault="0014354B">
                          <w:pPr>
                            <w:pStyle w:val="Ingetavst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54B" w:rsidRPr="007D4EFF" w:rsidRDefault="0014354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D4EF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354B" w:rsidRPr="007D4EFF" w:rsidRDefault="008A0F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TR-001 Test Summary Report for Sweden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14354B" w:rsidRPr="007D4EFF" w:rsidRDefault="0014354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D4EF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354B" w:rsidRPr="007D4EFF" w:rsidRDefault="008A0F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TR-001 Test Summary Report for Sweden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354B" w:rsidRDefault="0014354B">
          <w:r>
            <w:br w:type="page"/>
          </w:r>
        </w:p>
      </w:sdtContent>
    </w:sdt>
    <w:p w:rsidR="0014354B" w:rsidRPr="0014354B" w:rsidRDefault="0014354B" w:rsidP="0014354B">
      <w:pPr>
        <w:jc w:val="center"/>
        <w:rPr>
          <w:color w:val="4472C4" w:themeColor="accent1"/>
          <w:sz w:val="36"/>
          <w:szCs w:val="36"/>
          <w:lang w:val="en-GB"/>
        </w:rPr>
      </w:pPr>
      <w:r w:rsidRPr="0014354B">
        <w:rPr>
          <w:color w:val="4472C4" w:themeColor="accent1"/>
          <w:sz w:val="36"/>
          <w:szCs w:val="36"/>
          <w:highlight w:val="lightGray"/>
          <w:lang w:val="en-GB"/>
        </w:rPr>
        <w:lastRenderedPageBreak/>
        <w:t>Test Summary Report</w:t>
      </w:r>
    </w:p>
    <w:p w:rsidR="0014354B" w:rsidRPr="0014354B" w:rsidRDefault="0014354B" w:rsidP="0014354B">
      <w:pPr>
        <w:rPr>
          <w:color w:val="4472C4" w:themeColor="accent1"/>
          <w:sz w:val="28"/>
          <w:szCs w:val="28"/>
          <w:lang w:val="en-GB"/>
        </w:rPr>
      </w:pPr>
      <w:r w:rsidRPr="0014354B">
        <w:rPr>
          <w:color w:val="4472C4" w:themeColor="accent1"/>
          <w:sz w:val="28"/>
          <w:szCs w:val="28"/>
          <w:lang w:val="en-GB"/>
        </w:rPr>
        <w:t>1 Purpose of the document</w:t>
      </w:r>
    </w:p>
    <w:p w:rsidR="0014354B" w:rsidRDefault="0014354B" w:rsidP="0014354B">
      <w:pPr>
        <w:rPr>
          <w:color w:val="000000" w:themeColor="text1"/>
          <w:lang w:val="en-GB"/>
        </w:rPr>
      </w:pPr>
      <w:r w:rsidRPr="0014354B">
        <w:rPr>
          <w:color w:val="000000" w:themeColor="text1"/>
          <w:lang w:val="en-GB"/>
        </w:rPr>
        <w:t>This document summarizes the v</w:t>
      </w:r>
      <w:r>
        <w:rPr>
          <w:color w:val="000000" w:themeColor="text1"/>
          <w:lang w:val="en-GB"/>
        </w:rPr>
        <w:t>arious activities as part of the testing of Sweden Bank Website</w:t>
      </w:r>
    </w:p>
    <w:p w:rsidR="0014354B" w:rsidRDefault="0014354B" w:rsidP="0014354B">
      <w:pPr>
        <w:rPr>
          <w:color w:val="000000" w:themeColor="text1"/>
          <w:lang w:val="en-GB"/>
        </w:rPr>
      </w:pPr>
    </w:p>
    <w:p w:rsidR="0014354B" w:rsidRPr="00223D07" w:rsidRDefault="0014354B" w:rsidP="0014354B">
      <w:pPr>
        <w:rPr>
          <w:color w:val="4472C4" w:themeColor="accent1"/>
          <w:sz w:val="28"/>
          <w:szCs w:val="28"/>
          <w:lang w:val="en-GB"/>
        </w:rPr>
      </w:pPr>
      <w:bookmarkStart w:id="0" w:name="_GoBack"/>
      <w:r w:rsidRPr="00223D07">
        <w:rPr>
          <w:color w:val="4472C4" w:themeColor="accent1"/>
          <w:sz w:val="28"/>
          <w:szCs w:val="28"/>
          <w:lang w:val="en-GB"/>
        </w:rPr>
        <w:t xml:space="preserve">2 Application Overview </w:t>
      </w:r>
    </w:p>
    <w:bookmarkEnd w:id="0"/>
    <w:p w:rsidR="0014354B" w:rsidRDefault="0014354B" w:rsidP="0014354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Sweden Bank Application is a net-banking application. Users can perform various bank operations by using this online application. It contains several modules</w:t>
      </w:r>
      <w:r w:rsidR="00223D07">
        <w:rPr>
          <w:color w:val="000000" w:themeColor="text1"/>
          <w:lang w:val="en-GB"/>
        </w:rPr>
        <w:t xml:space="preserve"> like</w:t>
      </w:r>
      <w:r>
        <w:rPr>
          <w:color w:val="000000" w:themeColor="text1"/>
          <w:lang w:val="en-GB"/>
        </w:rPr>
        <w:t xml:space="preserve"> </w:t>
      </w:r>
      <w:r w:rsidR="00223D07">
        <w:rPr>
          <w:color w:val="000000" w:themeColor="text1"/>
          <w:lang w:val="en-GB"/>
        </w:rPr>
        <w:t>salary account, credit card purchase, transfer between accounts, and mini statement that all has been integrated to fulfil the purpose.</w:t>
      </w:r>
    </w:p>
    <w:p w:rsidR="00223D07" w:rsidRDefault="00223D07" w:rsidP="0014354B">
      <w:pPr>
        <w:rPr>
          <w:color w:val="4472C4" w:themeColor="accent1"/>
          <w:sz w:val="28"/>
          <w:szCs w:val="28"/>
          <w:lang w:val="en-GB"/>
        </w:rPr>
      </w:pPr>
      <w:r w:rsidRPr="00223D07">
        <w:rPr>
          <w:color w:val="4472C4" w:themeColor="accent1"/>
          <w:sz w:val="28"/>
          <w:szCs w:val="28"/>
          <w:lang w:val="en-GB"/>
        </w:rPr>
        <w:t xml:space="preserve">3 Testing Scope </w:t>
      </w:r>
    </w:p>
    <w:p w:rsidR="00223D07" w:rsidRDefault="00223D07" w:rsidP="0014354B">
      <w:pPr>
        <w:rPr>
          <w:b/>
          <w:bCs/>
          <w:color w:val="000000" w:themeColor="text1"/>
          <w:lang w:val="en-GB"/>
        </w:rPr>
      </w:pPr>
      <w:r w:rsidRPr="00AD72BC">
        <w:rPr>
          <w:b/>
          <w:bCs/>
          <w:color w:val="000000" w:themeColor="text1"/>
          <w:lang w:val="en-GB"/>
        </w:rPr>
        <w:t xml:space="preserve">3.1 In Scope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99"/>
        <w:gridCol w:w="3004"/>
        <w:gridCol w:w="3006"/>
      </w:tblGrid>
      <w:tr w:rsidR="00FB5210" w:rsidTr="00C402D4">
        <w:tc>
          <w:tcPr>
            <w:tcW w:w="599" w:type="dxa"/>
            <w:shd w:val="clear" w:color="auto" w:fill="FBE4D5" w:themeFill="accent2" w:themeFillTint="33"/>
          </w:tcPr>
          <w:p w:rsidR="00FB5210" w:rsidRPr="004E08B2" w:rsidRDefault="00FB5210" w:rsidP="000D1023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  <w:lang w:val="en-US" w:eastAsia="en-GB"/>
              </w:rPr>
              <w:t>No.</w:t>
            </w:r>
          </w:p>
        </w:tc>
        <w:tc>
          <w:tcPr>
            <w:tcW w:w="3004" w:type="dxa"/>
            <w:shd w:val="clear" w:color="auto" w:fill="FBE4D5" w:themeFill="accent2" w:themeFillTint="33"/>
          </w:tcPr>
          <w:p w:rsidR="00FB5210" w:rsidRPr="004E08B2" w:rsidRDefault="00FB5210" w:rsidP="000D1023">
            <w:pPr>
              <w:rPr>
                <w:b/>
                <w:bCs/>
                <w:lang w:val="en-US" w:eastAsia="en-GB"/>
              </w:rPr>
            </w:pPr>
            <w:r w:rsidRPr="004E08B2">
              <w:rPr>
                <w:b/>
                <w:bCs/>
                <w:lang w:val="en-US" w:eastAsia="en-GB"/>
              </w:rPr>
              <w:t>Module Name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FB5210" w:rsidRPr="004E08B2" w:rsidRDefault="00FB5210" w:rsidP="000D1023">
            <w:pPr>
              <w:rPr>
                <w:b/>
                <w:bCs/>
                <w:lang w:val="en-US" w:eastAsia="en-GB"/>
              </w:rPr>
            </w:pPr>
            <w:r w:rsidRPr="004E08B2">
              <w:rPr>
                <w:b/>
                <w:bCs/>
                <w:lang w:val="en-US" w:eastAsia="en-GB"/>
              </w:rPr>
              <w:t>Description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#1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Log in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log into his account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#2</w:t>
            </w:r>
          </w:p>
          <w:p w:rsidR="00FB5210" w:rsidRDefault="00FB5210" w:rsidP="000D1023">
            <w:pPr>
              <w:rPr>
                <w:lang w:val="en-US" w:eastAsia="en-GB"/>
              </w:rPr>
            </w:pP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salary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get his salary inserted to his salary account every month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#3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Credit card purchase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customer’s Card buys are withdrawn from his card account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#4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Transfer between accounts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transfer between his own accounts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#5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Mini statement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see a mini statement displaying last 10 transactions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#6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Account history ‘Show all transactions’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see all transaction for each account by clicking on ‘show more’ button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#7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Edit Account name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create, delete or change name on their account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#8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New accounts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decide which account is used as salary- card- or saving account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#9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Money transfer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transfer to other’s accounts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lastRenderedPageBreak/>
              <w:t>#10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 xml:space="preserve">Saving account 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setup regular scheduled transfer to saving account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#11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Account balance summary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see a summary of all his accounts balances including his last 5 transactions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#12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PG &amp; BG payments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can create future transactions to PG and BG accounts</w:t>
            </w:r>
          </w:p>
        </w:tc>
      </w:tr>
      <w:tr w:rsidR="00FB5210" w:rsidTr="00C402D4">
        <w:tc>
          <w:tcPr>
            <w:tcW w:w="599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#13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Auto Giro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 xml:space="preserve">A customer can pay phone bill with auto </w:t>
            </w:r>
            <w:proofErr w:type="spellStart"/>
            <w:r>
              <w:rPr>
                <w:lang w:val="en-US" w:eastAsia="en-GB"/>
              </w:rPr>
              <w:t>giro</w:t>
            </w:r>
            <w:proofErr w:type="spellEnd"/>
          </w:p>
        </w:tc>
      </w:tr>
      <w:tr w:rsidR="00FB5210" w:rsidTr="00C402D4">
        <w:tc>
          <w:tcPr>
            <w:tcW w:w="599" w:type="dxa"/>
          </w:tcPr>
          <w:p w:rsidR="00FB5210" w:rsidRPr="00FB5210" w:rsidRDefault="00FB5210" w:rsidP="000D1023">
            <w:pPr>
              <w:rPr>
                <w:b/>
                <w:bCs/>
                <w:lang w:val="en-US" w:eastAsia="en-GB"/>
              </w:rPr>
            </w:pPr>
            <w:r>
              <w:rPr>
                <w:lang w:val="en-US" w:eastAsia="en-GB"/>
              </w:rPr>
              <w:t>#14</w:t>
            </w:r>
          </w:p>
        </w:tc>
        <w:tc>
          <w:tcPr>
            <w:tcW w:w="3004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Transfer limit</w:t>
            </w:r>
          </w:p>
        </w:tc>
        <w:tc>
          <w:tcPr>
            <w:tcW w:w="3006" w:type="dxa"/>
          </w:tcPr>
          <w:p w:rsidR="00FB5210" w:rsidRDefault="00FB5210" w:rsidP="000D1023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A customer has a balance ceiling that prevents more than SEK 30.000 is transferred within 7 days. This amount can be reset in settings</w:t>
            </w:r>
          </w:p>
        </w:tc>
      </w:tr>
    </w:tbl>
    <w:p w:rsidR="00223D07" w:rsidRDefault="00223D07" w:rsidP="0014354B">
      <w:pPr>
        <w:rPr>
          <w:color w:val="000000" w:themeColor="text1"/>
          <w:lang w:val="en-GB"/>
        </w:rPr>
      </w:pPr>
    </w:p>
    <w:p w:rsidR="00223D07" w:rsidRPr="00AD72BC" w:rsidRDefault="00223D07" w:rsidP="0014354B">
      <w:pPr>
        <w:rPr>
          <w:b/>
          <w:bCs/>
          <w:color w:val="000000" w:themeColor="text1"/>
          <w:lang w:val="en-GB"/>
        </w:rPr>
      </w:pPr>
      <w:r w:rsidRPr="00AD72BC">
        <w:rPr>
          <w:b/>
          <w:bCs/>
          <w:color w:val="000000" w:themeColor="text1"/>
          <w:lang w:val="en-GB"/>
        </w:rPr>
        <w:t xml:space="preserve">3.2 Out of Scope </w:t>
      </w:r>
    </w:p>
    <w:p w:rsidR="00AD72BC" w:rsidRPr="00AD72BC" w:rsidRDefault="00AD72BC" w:rsidP="00AD72BC">
      <w:pPr>
        <w:rPr>
          <w:lang w:val="en-US" w:eastAsia="en-GB"/>
        </w:rPr>
      </w:pPr>
      <w:r w:rsidRPr="00AD72BC">
        <w:rPr>
          <w:lang w:val="en-US" w:eastAsia="en-GB"/>
        </w:rPr>
        <w:t xml:space="preserve">Non-functional testing i.e. stress-, performance- and logical database is not included in this testing. </w:t>
      </w:r>
    </w:p>
    <w:p w:rsidR="00AD72BC" w:rsidRDefault="00AD72BC" w:rsidP="00AD72BC">
      <w:pPr>
        <w:rPr>
          <w:lang w:val="en-US" w:eastAsia="en-GB"/>
        </w:rPr>
      </w:pPr>
      <w:r w:rsidRPr="00AD72BC">
        <w:rPr>
          <w:lang w:val="en-US" w:eastAsia="en-GB"/>
        </w:rPr>
        <w:t>Hardware and external interfaces are also out of scope!</w:t>
      </w:r>
    </w:p>
    <w:p w:rsidR="00AD72BC" w:rsidRPr="00AD72BC" w:rsidRDefault="00AD72BC" w:rsidP="0014354B">
      <w:pPr>
        <w:rPr>
          <w:b/>
          <w:bCs/>
          <w:color w:val="000000" w:themeColor="text1"/>
          <w:lang w:val="en-GB"/>
        </w:rPr>
      </w:pPr>
    </w:p>
    <w:p w:rsidR="00905359" w:rsidRDefault="00905359" w:rsidP="009B0307">
      <w:pPr>
        <w:rPr>
          <w:color w:val="4472C4" w:themeColor="accent1"/>
          <w:sz w:val="28"/>
          <w:szCs w:val="28"/>
          <w:lang w:val="en-GB"/>
        </w:rPr>
      </w:pPr>
      <w:r>
        <w:rPr>
          <w:color w:val="4472C4" w:themeColor="accent1"/>
          <w:sz w:val="28"/>
          <w:szCs w:val="28"/>
          <w:lang w:val="en-GB"/>
        </w:rPr>
        <w:t xml:space="preserve">4 </w:t>
      </w:r>
      <w:r w:rsidR="00AD72BC">
        <w:rPr>
          <w:color w:val="4472C4" w:themeColor="accent1"/>
          <w:sz w:val="28"/>
          <w:szCs w:val="28"/>
          <w:lang w:val="en-GB"/>
        </w:rPr>
        <w:t>Metric</w:t>
      </w:r>
    </w:p>
    <w:p w:rsidR="0043473B" w:rsidRDefault="00E1496B" w:rsidP="009B0307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4.1 </w:t>
      </w:r>
      <w:r w:rsidR="0043473B">
        <w:rPr>
          <w:b/>
          <w:bCs/>
          <w:color w:val="000000" w:themeColor="text1"/>
          <w:lang w:val="en-GB"/>
        </w:rPr>
        <w:t>No of test cases planned vs executed &amp; passed vs failed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920"/>
        <w:gridCol w:w="2080"/>
        <w:gridCol w:w="1760"/>
        <w:gridCol w:w="1680"/>
      </w:tblGrid>
      <w:tr w:rsidR="009B0307" w:rsidRPr="009B0307" w:rsidTr="009B0307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Test type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b/>
                <w:bCs/>
                <w:color w:val="000000" w:themeColor="text1"/>
                <w:lang w:val="en-GB" w:eastAsia="sv-SE"/>
              </w:rPr>
              <w:t>Test cases planned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Test Cases </w:t>
            </w:r>
            <w:proofErr w:type="spellStart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Executed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Test </w:t>
            </w:r>
            <w:proofErr w:type="spellStart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cases</w:t>
            </w:r>
            <w:proofErr w:type="spellEnd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</w:t>
            </w:r>
            <w:proofErr w:type="spellStart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Passed</w:t>
            </w:r>
            <w:proofErr w:type="spellEnd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Test </w:t>
            </w:r>
            <w:proofErr w:type="spellStart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cases</w:t>
            </w:r>
            <w:proofErr w:type="spellEnd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</w:t>
            </w:r>
            <w:proofErr w:type="spellStart"/>
            <w:r w:rsidRPr="009B0307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Failed</w:t>
            </w:r>
            <w:proofErr w:type="spellEnd"/>
          </w:p>
        </w:tc>
      </w:tr>
      <w:tr w:rsidR="009B0307" w:rsidRPr="009B0307" w:rsidTr="009B0307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Manual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C497A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C497A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C497A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C497A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</w:tr>
      <w:tr w:rsidR="009B0307" w:rsidRPr="009B0307" w:rsidTr="009B0307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B0307">
              <w:rPr>
                <w:rFonts w:ascii="Calibri" w:eastAsia="Times New Roman" w:hAnsi="Calibri" w:cs="Calibri"/>
                <w:color w:val="000000"/>
                <w:lang w:eastAsia="sv-SE"/>
              </w:rPr>
              <w:t>Automated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  <w:r w:rsidR="00000C60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000C60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  <w:r w:rsidR="00623D4E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000C60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  <w:r w:rsidR="00623D4E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9B0307" w:rsidRPr="009B0307" w:rsidTr="009B0307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9B0307" w:rsidP="009B0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B0307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Total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000C60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  <w:r w:rsidR="00623D4E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623D4E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623D4E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307" w:rsidRPr="009B0307" w:rsidRDefault="00623D4E" w:rsidP="009B0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</w:tr>
    </w:tbl>
    <w:p w:rsidR="009B0307" w:rsidRDefault="009B0307" w:rsidP="0014354B">
      <w:pPr>
        <w:rPr>
          <w:color w:val="4472C4" w:themeColor="accent1"/>
          <w:sz w:val="28"/>
          <w:szCs w:val="28"/>
          <w:lang w:val="en-GB"/>
        </w:rPr>
      </w:pPr>
    </w:p>
    <w:p w:rsidR="009B0307" w:rsidRDefault="009B0307" w:rsidP="0014354B">
      <w:pPr>
        <w:rPr>
          <w:color w:val="4472C4" w:themeColor="accent1"/>
          <w:sz w:val="28"/>
          <w:szCs w:val="28"/>
          <w:lang w:val="en-GB"/>
        </w:rPr>
      </w:pPr>
    </w:p>
    <w:p w:rsidR="009B0307" w:rsidRPr="00223D07" w:rsidRDefault="009B0307" w:rsidP="0014354B">
      <w:pPr>
        <w:rPr>
          <w:color w:val="4472C4" w:themeColor="accent1"/>
          <w:sz w:val="28"/>
          <w:szCs w:val="28"/>
          <w:lang w:val="en-GB"/>
        </w:rPr>
      </w:pPr>
      <w:r>
        <w:rPr>
          <w:noProof/>
          <w:color w:val="4472C4" w:themeColor="accent1"/>
          <w:sz w:val="28"/>
          <w:szCs w:val="28"/>
          <w:lang w:val="en-GB"/>
        </w:rPr>
        <w:lastRenderedPageBreak/>
        <w:drawing>
          <wp:inline distT="0" distB="0" distL="0" distR="0">
            <wp:extent cx="5486400" cy="22352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23D07" w:rsidRDefault="00223D07" w:rsidP="0014354B">
      <w:pPr>
        <w:rPr>
          <w:color w:val="000000" w:themeColor="text1"/>
          <w:lang w:val="en-GB"/>
        </w:rPr>
      </w:pPr>
    </w:p>
    <w:p w:rsidR="00223D07" w:rsidRDefault="00223D07" w:rsidP="0014354B">
      <w:pPr>
        <w:rPr>
          <w:color w:val="000000" w:themeColor="text1"/>
          <w:lang w:val="en-GB"/>
        </w:rPr>
      </w:pPr>
    </w:p>
    <w:p w:rsidR="0014354B" w:rsidRDefault="0043473B" w:rsidP="0014354B">
      <w:pPr>
        <w:rPr>
          <w:b/>
          <w:bCs/>
          <w:color w:val="000000" w:themeColor="text1"/>
          <w:lang w:val="en-GB"/>
        </w:rPr>
      </w:pPr>
      <w:r w:rsidRPr="0043473B">
        <w:rPr>
          <w:b/>
          <w:bCs/>
          <w:color w:val="000000" w:themeColor="text1"/>
          <w:lang w:val="en-GB"/>
        </w:rPr>
        <w:t xml:space="preserve">4.2 </w:t>
      </w:r>
      <w:r w:rsidR="00E1496B" w:rsidRPr="0043473B">
        <w:rPr>
          <w:b/>
          <w:bCs/>
          <w:color w:val="000000" w:themeColor="text1"/>
          <w:lang w:val="en-GB"/>
        </w:rPr>
        <w:t xml:space="preserve">No of defect identified and their status and severity </w:t>
      </w:r>
    </w:p>
    <w:tbl>
      <w:tblPr>
        <w:tblW w:w="93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2061"/>
        <w:gridCol w:w="2232"/>
        <w:gridCol w:w="1889"/>
        <w:gridCol w:w="1803"/>
      </w:tblGrid>
      <w:tr w:rsidR="0043473B" w:rsidRPr="00E1496B" w:rsidTr="0043473B">
        <w:trPr>
          <w:trHeight w:val="24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Critical 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Major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Medium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Cosmetic</w:t>
            </w:r>
            <w:proofErr w:type="spellEnd"/>
          </w:p>
        </w:tc>
      </w:tr>
      <w:tr w:rsidR="0043473B" w:rsidRPr="00E1496B" w:rsidTr="0043473B">
        <w:trPr>
          <w:trHeight w:val="241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Pr="007B1F06" w:rsidRDefault="007B1F06" w:rsidP="0043473B">
            <w:pPr>
              <w:jc w:val="right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7B1F06">
              <w:rPr>
                <w:rFonts w:ascii="Calibri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473B" w:rsidRPr="00E1496B" w:rsidTr="0043473B">
        <w:trPr>
          <w:trHeight w:val="241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Pr="007B1F06" w:rsidRDefault="007B1F06" w:rsidP="0043473B">
            <w:pPr>
              <w:jc w:val="right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7B1F06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473B" w:rsidRPr="00E1496B" w:rsidTr="0043473B">
        <w:trPr>
          <w:trHeight w:val="263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473B" w:rsidRDefault="0043473B" w:rsidP="004347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Pr="007B1F06" w:rsidRDefault="007B1F06" w:rsidP="0043473B">
            <w:pPr>
              <w:jc w:val="right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7B1F06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73B" w:rsidRDefault="0043473B" w:rsidP="004347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E1496B" w:rsidRDefault="00E1496B" w:rsidP="0014354B">
      <w:pPr>
        <w:rPr>
          <w:color w:val="000000" w:themeColor="text1"/>
          <w:lang w:val="en-GB"/>
        </w:rPr>
      </w:pPr>
    </w:p>
    <w:p w:rsidR="0043473B" w:rsidRDefault="0043473B" w:rsidP="0014354B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1496B" w:rsidRDefault="00E1496B" w:rsidP="0014354B">
      <w:pPr>
        <w:rPr>
          <w:color w:val="000000" w:themeColor="text1"/>
          <w:lang w:val="en-GB"/>
        </w:rPr>
      </w:pPr>
    </w:p>
    <w:p w:rsidR="0014354B" w:rsidRPr="0014354B" w:rsidRDefault="0014354B" w:rsidP="0014354B">
      <w:pPr>
        <w:rPr>
          <w:color w:val="000000" w:themeColor="text1"/>
          <w:lang w:val="en-GB"/>
        </w:rPr>
      </w:pPr>
    </w:p>
    <w:p w:rsidR="0014354B" w:rsidRDefault="00684E9F" w:rsidP="0014354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4.3 </w:t>
      </w:r>
      <w:r w:rsidR="00FB5210" w:rsidRPr="00000C60">
        <w:rPr>
          <w:b/>
          <w:bCs/>
          <w:color w:val="000000" w:themeColor="text1"/>
          <w:lang w:val="en-GB"/>
        </w:rPr>
        <w:t xml:space="preserve">Defects distribution – module wise 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50"/>
        <w:gridCol w:w="450"/>
        <w:gridCol w:w="450"/>
        <w:gridCol w:w="450"/>
        <w:gridCol w:w="449"/>
        <w:gridCol w:w="449"/>
        <w:gridCol w:w="449"/>
        <w:gridCol w:w="449"/>
        <w:gridCol w:w="449"/>
        <w:gridCol w:w="647"/>
        <w:gridCol w:w="647"/>
        <w:gridCol w:w="647"/>
        <w:gridCol w:w="647"/>
        <w:gridCol w:w="647"/>
      </w:tblGrid>
      <w:tr w:rsidR="00000C60" w:rsidRPr="00000C60" w:rsidTr="00000C60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proofErr w:type="spellStart"/>
            <w:r w:rsidRPr="00000C60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Severity</w:t>
            </w:r>
            <w:proofErr w:type="spellEnd"/>
            <w:r w:rsidRPr="00000C60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</w:t>
            </w:r>
            <w:proofErr w:type="spellStart"/>
            <w:r w:rsidRPr="00000C60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Level</w:t>
            </w:r>
            <w:proofErr w:type="spellEnd"/>
          </w:p>
        </w:tc>
        <w:tc>
          <w:tcPr>
            <w:tcW w:w="728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proofErr w:type="spellStart"/>
            <w:r w:rsidRPr="00000C60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Module</w:t>
            </w:r>
            <w:proofErr w:type="spellEnd"/>
            <w:r w:rsidRPr="00000C60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 xml:space="preserve"> 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#14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Critical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Major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Medium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Cosmetic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000C60" w:rsidRPr="00000C60" w:rsidTr="00000C60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Total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60" w:rsidRPr="00000C60" w:rsidRDefault="00000C60" w:rsidP="00000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00C60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</w:tbl>
    <w:p w:rsidR="00FB5210" w:rsidRDefault="00FB5210" w:rsidP="0014354B">
      <w:pPr>
        <w:rPr>
          <w:color w:val="000000" w:themeColor="text1"/>
          <w:lang w:val="en-GB"/>
        </w:rPr>
      </w:pPr>
    </w:p>
    <w:p w:rsidR="00000C60" w:rsidRDefault="00000C60" w:rsidP="0014354B">
      <w:pPr>
        <w:rPr>
          <w:color w:val="000000" w:themeColor="text1"/>
          <w:lang w:val="en-GB"/>
        </w:rPr>
      </w:pPr>
    </w:p>
    <w:p w:rsidR="00000C60" w:rsidRDefault="00000C60" w:rsidP="0014354B">
      <w:pPr>
        <w:rPr>
          <w:color w:val="000000" w:themeColor="text1"/>
          <w:lang w:val="en-GB"/>
        </w:rPr>
      </w:pPr>
    </w:p>
    <w:p w:rsidR="00FB5210" w:rsidRPr="0014354B" w:rsidRDefault="00FB5210" w:rsidP="0014354B">
      <w:pPr>
        <w:rPr>
          <w:color w:val="000000" w:themeColor="text1"/>
          <w:lang w:val="en-GB"/>
        </w:rPr>
      </w:pPr>
    </w:p>
    <w:p w:rsidR="0014354B" w:rsidRDefault="00000C60" w:rsidP="0014354B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84E9F" w:rsidRDefault="00684E9F" w:rsidP="0014354B">
      <w:pPr>
        <w:rPr>
          <w:color w:val="000000" w:themeColor="text1"/>
          <w:lang w:val="en-GB"/>
        </w:rPr>
      </w:pPr>
    </w:p>
    <w:p w:rsidR="00684E9F" w:rsidRDefault="00684E9F" w:rsidP="0014354B">
      <w:pPr>
        <w:rPr>
          <w:color w:val="4472C4" w:themeColor="accent1"/>
          <w:sz w:val="28"/>
          <w:szCs w:val="28"/>
          <w:lang w:val="en-GB"/>
        </w:rPr>
      </w:pPr>
      <w:r w:rsidRPr="00684E9F">
        <w:rPr>
          <w:color w:val="4472C4" w:themeColor="accent1"/>
          <w:sz w:val="28"/>
          <w:szCs w:val="28"/>
          <w:lang w:val="en-GB"/>
        </w:rPr>
        <w:t>5 Types of testing performed</w:t>
      </w:r>
    </w:p>
    <w:p w:rsidR="00C402D4" w:rsidRDefault="00C402D4" w:rsidP="0014354B">
      <w:pPr>
        <w:rPr>
          <w:b/>
          <w:bCs/>
          <w:color w:val="000000" w:themeColor="text1"/>
          <w:lang w:val="en-GB"/>
        </w:rPr>
      </w:pPr>
      <w:r w:rsidRPr="00C402D4">
        <w:rPr>
          <w:b/>
          <w:bCs/>
          <w:color w:val="000000" w:themeColor="text1"/>
          <w:lang w:val="en-GB"/>
        </w:rPr>
        <w:t>5.1 Functional testing</w:t>
      </w:r>
    </w:p>
    <w:p w:rsidR="0040408D" w:rsidRDefault="0040408D" w:rsidP="0014354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This is the testing performed to verify that all components of a software </w:t>
      </w:r>
      <w:proofErr w:type="gramStart"/>
      <w:r>
        <w:rPr>
          <w:color w:val="000000" w:themeColor="text1"/>
          <w:lang w:val="en-GB"/>
        </w:rPr>
        <w:t>works</w:t>
      </w:r>
      <w:proofErr w:type="gramEnd"/>
      <w:r>
        <w:rPr>
          <w:color w:val="000000" w:themeColor="text1"/>
          <w:lang w:val="en-GB"/>
        </w:rPr>
        <w:t xml:space="preserve"> as intended and verifies the functional requirements and validates the business requirements.</w:t>
      </w:r>
    </w:p>
    <w:p w:rsidR="0040408D" w:rsidRPr="0040408D" w:rsidRDefault="0040408D" w:rsidP="0014354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We tested critical business scenarios to ensure that the important functionality </w:t>
      </w:r>
      <w:r w:rsidR="001356A4">
        <w:rPr>
          <w:color w:val="000000" w:themeColor="text1"/>
          <w:lang w:val="en-GB"/>
        </w:rPr>
        <w:t xml:space="preserve">works </w:t>
      </w:r>
      <w:r>
        <w:rPr>
          <w:color w:val="000000" w:themeColor="text1"/>
          <w:lang w:val="en-GB"/>
        </w:rPr>
        <w:t>as per requirements.</w:t>
      </w:r>
    </w:p>
    <w:p w:rsidR="00C402D4" w:rsidRDefault="00C402D4" w:rsidP="0014354B">
      <w:pPr>
        <w:rPr>
          <w:b/>
          <w:bCs/>
          <w:color w:val="000000" w:themeColor="text1"/>
          <w:lang w:val="en-GB"/>
        </w:rPr>
      </w:pPr>
      <w:r w:rsidRPr="00C402D4">
        <w:rPr>
          <w:b/>
          <w:bCs/>
          <w:color w:val="000000" w:themeColor="text1"/>
          <w:lang w:val="en-GB"/>
        </w:rPr>
        <w:t>5.2 Automated testing</w:t>
      </w:r>
    </w:p>
    <w:p w:rsidR="00F86B7B" w:rsidRDefault="00F86B7B" w:rsidP="0014354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Automated testing was </w:t>
      </w:r>
      <w:r w:rsidR="00E63801">
        <w:rPr>
          <w:color w:val="000000" w:themeColor="text1"/>
          <w:lang w:val="en-GB"/>
        </w:rPr>
        <w:t xml:space="preserve">done </w:t>
      </w:r>
      <w:r w:rsidR="006E073E">
        <w:rPr>
          <w:color w:val="000000" w:themeColor="text1"/>
          <w:lang w:val="en-GB"/>
        </w:rPr>
        <w:t>with t</w:t>
      </w:r>
      <w:r w:rsidR="00E63801">
        <w:rPr>
          <w:color w:val="000000" w:themeColor="text1"/>
          <w:lang w:val="en-GB"/>
        </w:rPr>
        <w:t xml:space="preserve">he aim to perform positive &amp; functional testing. </w:t>
      </w:r>
      <w:r w:rsidR="00865A6B">
        <w:rPr>
          <w:color w:val="000000" w:themeColor="text1"/>
          <w:lang w:val="en-GB"/>
        </w:rPr>
        <w:t>Test results and report for the automated test cases has been generated to Ares Dashboard.</w:t>
      </w:r>
    </w:p>
    <w:p w:rsidR="00C402D4" w:rsidRDefault="00C402D4" w:rsidP="0014354B">
      <w:pPr>
        <w:rPr>
          <w:b/>
          <w:bCs/>
          <w:color w:val="000000" w:themeColor="text1"/>
          <w:lang w:val="en-GB"/>
        </w:rPr>
      </w:pPr>
      <w:r w:rsidRPr="00C402D4">
        <w:rPr>
          <w:b/>
          <w:bCs/>
          <w:color w:val="000000" w:themeColor="text1"/>
          <w:lang w:val="en-GB"/>
        </w:rPr>
        <w:t>5.3 Exploratory testing</w:t>
      </w:r>
    </w:p>
    <w:p w:rsidR="00865A6B" w:rsidRPr="006B20FA" w:rsidRDefault="00865A6B" w:rsidP="0014354B">
      <w:pPr>
        <w:rPr>
          <w:color w:val="000000" w:themeColor="text1"/>
          <w:lang w:val="en-GB"/>
        </w:rPr>
      </w:pPr>
      <w:r w:rsidRPr="006B20FA">
        <w:rPr>
          <w:color w:val="000000" w:themeColor="text1"/>
          <w:lang w:val="en-GB"/>
        </w:rPr>
        <w:t xml:space="preserve">Exploratory testing was </w:t>
      </w:r>
      <w:r w:rsidR="00094B9F" w:rsidRPr="006B20FA">
        <w:rPr>
          <w:color w:val="000000" w:themeColor="text1"/>
          <w:lang w:val="en-GB"/>
        </w:rPr>
        <w:t>conducted</w:t>
      </w:r>
      <w:r w:rsidRPr="006B20FA">
        <w:rPr>
          <w:color w:val="000000" w:themeColor="text1"/>
          <w:lang w:val="en-GB"/>
        </w:rPr>
        <w:t xml:space="preserve"> in order to catch </w:t>
      </w:r>
      <w:r w:rsidR="00094B9F" w:rsidRPr="006B20FA">
        <w:rPr>
          <w:color w:val="000000" w:themeColor="text1"/>
          <w:lang w:val="en-GB"/>
        </w:rPr>
        <w:t xml:space="preserve">defects and issues in the system </w:t>
      </w:r>
      <w:r w:rsidRPr="006B20FA">
        <w:rPr>
          <w:color w:val="000000" w:themeColor="text1"/>
          <w:lang w:val="en-GB"/>
        </w:rPr>
        <w:t xml:space="preserve">that </w:t>
      </w:r>
      <w:r w:rsidR="00094B9F" w:rsidRPr="006B20FA">
        <w:rPr>
          <w:color w:val="000000" w:themeColor="text1"/>
          <w:lang w:val="en-GB"/>
        </w:rPr>
        <w:t>might have</w:t>
      </w:r>
      <w:r w:rsidRPr="006B20FA">
        <w:rPr>
          <w:color w:val="000000" w:themeColor="text1"/>
          <w:lang w:val="en-GB"/>
        </w:rPr>
        <w:t xml:space="preserve"> been omitted by the automated testing</w:t>
      </w:r>
      <w:r w:rsidR="00094B9F" w:rsidRPr="006B20FA">
        <w:rPr>
          <w:color w:val="000000" w:themeColor="text1"/>
          <w:lang w:val="en-GB"/>
        </w:rPr>
        <w:t>.</w:t>
      </w:r>
    </w:p>
    <w:p w:rsidR="00094B9F" w:rsidRPr="006B20FA" w:rsidRDefault="00094B9F" w:rsidP="0014354B">
      <w:pPr>
        <w:rPr>
          <w:color w:val="000000" w:themeColor="text1"/>
          <w:lang w:val="en-GB"/>
        </w:rPr>
      </w:pPr>
      <w:r w:rsidRPr="006B20FA">
        <w:rPr>
          <w:color w:val="000000" w:themeColor="text1"/>
          <w:lang w:val="en-GB"/>
        </w:rPr>
        <w:t>Exploratory testing is basically concurrent test case design and test execution of an application or system under test</w:t>
      </w:r>
      <w:r w:rsidR="001356A4">
        <w:rPr>
          <w:color w:val="000000" w:themeColor="text1"/>
          <w:lang w:val="en-GB"/>
        </w:rPr>
        <w:t xml:space="preserve"> and is a complements automated testing very well. </w:t>
      </w:r>
    </w:p>
    <w:p w:rsidR="00684E9F" w:rsidRDefault="00C402D4" w:rsidP="0014354B">
      <w:pPr>
        <w:rPr>
          <w:color w:val="4472C4" w:themeColor="accent1"/>
          <w:sz w:val="28"/>
          <w:szCs w:val="28"/>
          <w:lang w:val="en-GB"/>
        </w:rPr>
      </w:pPr>
      <w:r w:rsidRPr="00C402D4">
        <w:rPr>
          <w:color w:val="4472C4" w:themeColor="accent1"/>
          <w:sz w:val="28"/>
          <w:szCs w:val="28"/>
          <w:lang w:val="en-GB"/>
        </w:rPr>
        <w:t xml:space="preserve">6 </w:t>
      </w:r>
      <w:r w:rsidR="00684E9F" w:rsidRPr="00C402D4">
        <w:rPr>
          <w:color w:val="4472C4" w:themeColor="accent1"/>
          <w:sz w:val="28"/>
          <w:szCs w:val="28"/>
          <w:lang w:val="en-GB"/>
        </w:rPr>
        <w:t xml:space="preserve">Test Environments </w:t>
      </w:r>
      <w:r w:rsidRPr="00C402D4">
        <w:rPr>
          <w:color w:val="4472C4" w:themeColor="accent1"/>
          <w:sz w:val="28"/>
          <w:szCs w:val="28"/>
          <w:lang w:val="en-GB"/>
        </w:rPr>
        <w:t>&amp; Tools</w:t>
      </w:r>
    </w:p>
    <w:p w:rsidR="0040408D" w:rsidRDefault="00536F61" w:rsidP="0014354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6.1 </w:t>
      </w:r>
      <w:r w:rsidRPr="00536F61">
        <w:rPr>
          <w:b/>
          <w:bCs/>
          <w:color w:val="000000" w:themeColor="text1"/>
          <w:lang w:val="en-GB"/>
        </w:rPr>
        <w:t>Platform:</w:t>
      </w:r>
    </w:p>
    <w:p w:rsidR="00536F61" w:rsidRDefault="00536F61" w:rsidP="00536F61">
      <w:pPr>
        <w:rPr>
          <w:lang w:val="en-GB"/>
        </w:rPr>
      </w:pPr>
      <w:r w:rsidRPr="00C9262D">
        <w:rPr>
          <w:lang w:val="en-GB"/>
        </w:rPr>
        <w:lastRenderedPageBreak/>
        <w:t>D</w:t>
      </w:r>
      <w:r>
        <w:rPr>
          <w:lang w:val="en-GB"/>
        </w:rPr>
        <w:t>ell Latitude 5490, i5-8250 Quad core 1,6 GHz, 16 GB DDR4 2400 MHz</w:t>
      </w:r>
      <w:r>
        <w:rPr>
          <w:lang w:val="en-GB"/>
        </w:rPr>
        <w:t xml:space="preserve">, Chrome 76 on </w:t>
      </w:r>
      <w:r>
        <w:rPr>
          <w:lang w:val="en-GB"/>
        </w:rPr>
        <w:t>Windows 10</w:t>
      </w:r>
    </w:p>
    <w:p w:rsidR="00536F61" w:rsidRDefault="00536F61" w:rsidP="00536F61">
      <w:pPr>
        <w:rPr>
          <w:lang w:val="en-GB"/>
        </w:rPr>
      </w:pPr>
    </w:p>
    <w:p w:rsidR="00536F61" w:rsidRDefault="00536F61" w:rsidP="00536F61">
      <w:pPr>
        <w:rPr>
          <w:b/>
          <w:bCs/>
          <w:lang w:val="en-GB"/>
        </w:rPr>
      </w:pPr>
    </w:p>
    <w:p w:rsidR="00536F61" w:rsidRDefault="00536F61" w:rsidP="00536F61">
      <w:pPr>
        <w:rPr>
          <w:b/>
          <w:bCs/>
          <w:lang w:val="en-GB"/>
        </w:rPr>
      </w:pPr>
    </w:p>
    <w:p w:rsidR="00536F61" w:rsidRDefault="00536F61" w:rsidP="00536F6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6.2 </w:t>
      </w:r>
      <w:r w:rsidRPr="00536F61">
        <w:rPr>
          <w:b/>
          <w:bCs/>
          <w:lang w:val="en-GB"/>
        </w:rPr>
        <w:t>Software/Components:</w:t>
      </w:r>
    </w:p>
    <w:p w:rsidR="00536F61" w:rsidRDefault="00536F61" w:rsidP="00536F61">
      <w:pPr>
        <w:rPr>
          <w:lang w:val="en-GB"/>
        </w:rPr>
      </w:pPr>
      <w:r>
        <w:rPr>
          <w:b/>
          <w:bCs/>
          <w:lang w:val="en-GB"/>
        </w:rPr>
        <w:t xml:space="preserve">- </w:t>
      </w:r>
      <w:r w:rsidRPr="00536F61">
        <w:rPr>
          <w:lang w:val="en-GB"/>
        </w:rPr>
        <w:t xml:space="preserve">Selenium </w:t>
      </w:r>
      <w:proofErr w:type="spellStart"/>
      <w:r w:rsidRPr="00536F61">
        <w:rPr>
          <w:lang w:val="en-GB"/>
        </w:rPr>
        <w:t>Webdriver</w:t>
      </w:r>
      <w:proofErr w:type="spellEnd"/>
      <w:r w:rsidRPr="00536F61">
        <w:rPr>
          <w:lang w:val="en-GB"/>
        </w:rPr>
        <w:t xml:space="preserve"> browser automation tool</w:t>
      </w:r>
    </w:p>
    <w:p w:rsidR="00536F61" w:rsidRDefault="00536F61" w:rsidP="00536F61">
      <w:pPr>
        <w:rPr>
          <w:lang w:val="en-GB"/>
        </w:rPr>
      </w:pPr>
      <w:r>
        <w:rPr>
          <w:lang w:val="en-GB"/>
        </w:rPr>
        <w:t>- Cucumber testing framework</w:t>
      </w:r>
    </w:p>
    <w:p w:rsidR="00536F61" w:rsidRDefault="00536F61" w:rsidP="00536F61">
      <w:pPr>
        <w:rPr>
          <w:lang w:val="en-GB"/>
        </w:rPr>
      </w:pPr>
      <w:r>
        <w:rPr>
          <w:lang w:val="en-GB"/>
        </w:rPr>
        <w:t xml:space="preserve">- Ares Dashboard web-based portal </w:t>
      </w:r>
    </w:p>
    <w:p w:rsidR="00536F61" w:rsidRDefault="00536F61" w:rsidP="00536F61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for Version Control </w:t>
      </w:r>
    </w:p>
    <w:p w:rsidR="00536F61" w:rsidRDefault="00536F61" w:rsidP="00536F61">
      <w:pPr>
        <w:rPr>
          <w:lang w:val="en-GB"/>
        </w:rPr>
      </w:pPr>
    </w:p>
    <w:p w:rsidR="00C402D4" w:rsidRPr="00C402D4" w:rsidRDefault="00C402D4" w:rsidP="0014354B">
      <w:pPr>
        <w:rPr>
          <w:color w:val="4472C4" w:themeColor="accent1"/>
          <w:sz w:val="28"/>
          <w:szCs w:val="28"/>
          <w:lang w:val="en-GB"/>
        </w:rPr>
      </w:pPr>
    </w:p>
    <w:p w:rsidR="00C402D4" w:rsidRDefault="00C402D4" w:rsidP="0014354B">
      <w:pPr>
        <w:rPr>
          <w:color w:val="4472C4" w:themeColor="accent1"/>
          <w:sz w:val="28"/>
          <w:szCs w:val="28"/>
          <w:lang w:val="en-GB"/>
        </w:rPr>
      </w:pPr>
      <w:r w:rsidRPr="00C402D4">
        <w:rPr>
          <w:color w:val="4472C4" w:themeColor="accent1"/>
          <w:sz w:val="28"/>
          <w:szCs w:val="28"/>
          <w:lang w:val="en-GB"/>
        </w:rPr>
        <w:t xml:space="preserve">7 Lessons Learned </w:t>
      </w:r>
      <w:r w:rsidR="00C9121B">
        <w:rPr>
          <w:color w:val="4472C4" w:themeColor="accent1"/>
          <w:sz w:val="28"/>
          <w:szCs w:val="28"/>
          <w:lang w:val="en-GB"/>
        </w:rPr>
        <w:t xml:space="preserve">and </w:t>
      </w:r>
      <w:proofErr w:type="spellStart"/>
      <w:r w:rsidR="00C9121B">
        <w:rPr>
          <w:color w:val="4472C4" w:themeColor="accent1"/>
          <w:sz w:val="28"/>
          <w:szCs w:val="28"/>
          <w:lang w:val="en-GB"/>
        </w:rPr>
        <w:t>recommedations</w:t>
      </w:r>
      <w:proofErr w:type="spellEnd"/>
    </w:p>
    <w:p w:rsidR="00BD7626" w:rsidRPr="00BD7626" w:rsidRDefault="00BD7626" w:rsidP="0014354B">
      <w:pPr>
        <w:rPr>
          <w:color w:val="000000" w:themeColor="text1"/>
          <w:lang w:val="en-GB"/>
        </w:rPr>
      </w:pPr>
      <w:r w:rsidRPr="00BD7626">
        <w:rPr>
          <w:color w:val="000000" w:themeColor="text1"/>
          <w:lang w:val="en-GB"/>
        </w:rPr>
        <w:t>See the document ‘Personal account of group work in project’</w:t>
      </w:r>
      <w:r w:rsidR="00B30B13">
        <w:rPr>
          <w:color w:val="000000" w:themeColor="text1"/>
          <w:lang w:val="en-GB"/>
        </w:rPr>
        <w:t xml:space="preserve"> or file ‘</w:t>
      </w:r>
      <w:r w:rsidR="00B30B13" w:rsidRPr="00B30B13">
        <w:rPr>
          <w:color w:val="000000" w:themeColor="text1"/>
          <w:lang w:val="en-GB"/>
        </w:rPr>
        <w:t xml:space="preserve">Ind. </w:t>
      </w:r>
      <w:proofErr w:type="spellStart"/>
      <w:r w:rsidR="00B30B13" w:rsidRPr="00B30B13">
        <w:rPr>
          <w:color w:val="000000" w:themeColor="text1"/>
          <w:lang w:val="en-GB"/>
        </w:rPr>
        <w:t>Redogörelse</w:t>
      </w:r>
      <w:proofErr w:type="spellEnd"/>
      <w:r w:rsidR="00B30B13" w:rsidRPr="00B30B13">
        <w:rPr>
          <w:color w:val="000000" w:themeColor="text1"/>
          <w:lang w:val="en-GB"/>
        </w:rPr>
        <w:t xml:space="preserve"> -</w:t>
      </w:r>
      <w:proofErr w:type="gramStart"/>
      <w:r w:rsidR="00B30B13" w:rsidRPr="00B30B13">
        <w:rPr>
          <w:color w:val="000000" w:themeColor="text1"/>
          <w:lang w:val="en-GB"/>
        </w:rPr>
        <w:t>SB  Javad</w:t>
      </w:r>
      <w:proofErr w:type="gramEnd"/>
      <w:r w:rsidR="00B30B13">
        <w:rPr>
          <w:color w:val="000000" w:themeColor="text1"/>
          <w:lang w:val="en-GB"/>
        </w:rPr>
        <w:t>’</w:t>
      </w:r>
    </w:p>
    <w:p w:rsidR="00BD7626" w:rsidRDefault="00BD7626" w:rsidP="0014354B">
      <w:pPr>
        <w:rPr>
          <w:color w:val="4472C4" w:themeColor="accent1"/>
          <w:sz w:val="28"/>
          <w:szCs w:val="28"/>
          <w:lang w:val="en-GB"/>
        </w:rPr>
      </w:pPr>
    </w:p>
    <w:p w:rsidR="0090017F" w:rsidRDefault="0090017F" w:rsidP="0014354B">
      <w:pPr>
        <w:rPr>
          <w:b/>
          <w:bCs/>
          <w:color w:val="000000" w:themeColor="text1"/>
          <w:lang w:val="en-GB"/>
        </w:rPr>
      </w:pPr>
    </w:p>
    <w:p w:rsidR="00C402D4" w:rsidRPr="00C402D4" w:rsidRDefault="00C402D4" w:rsidP="0014354B">
      <w:pPr>
        <w:rPr>
          <w:color w:val="4472C4" w:themeColor="accent1"/>
          <w:sz w:val="28"/>
          <w:szCs w:val="28"/>
          <w:lang w:val="en-GB"/>
        </w:rPr>
      </w:pPr>
    </w:p>
    <w:sectPr w:rsidR="00C402D4" w:rsidRPr="00C402D4" w:rsidSect="0014354B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302" w:rsidRDefault="00F86302" w:rsidP="007D4EFF">
      <w:pPr>
        <w:spacing w:after="0" w:line="240" w:lineRule="auto"/>
      </w:pPr>
      <w:r>
        <w:separator/>
      </w:r>
    </w:p>
  </w:endnote>
  <w:endnote w:type="continuationSeparator" w:id="0">
    <w:p w:rsidR="00F86302" w:rsidRDefault="00F86302" w:rsidP="007D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302" w:rsidRDefault="00F86302" w:rsidP="007D4EFF">
      <w:pPr>
        <w:spacing w:after="0" w:line="240" w:lineRule="auto"/>
      </w:pPr>
      <w:r>
        <w:separator/>
      </w:r>
    </w:p>
  </w:footnote>
  <w:footnote w:type="continuationSeparator" w:id="0">
    <w:p w:rsidR="00F86302" w:rsidRDefault="00F86302" w:rsidP="007D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Look w:val="04A0" w:firstRow="1" w:lastRow="0" w:firstColumn="1" w:lastColumn="0" w:noHBand="0" w:noVBand="1"/>
    </w:tblPr>
    <w:tblGrid>
      <w:gridCol w:w="4369"/>
      <w:gridCol w:w="2573"/>
      <w:gridCol w:w="2079"/>
    </w:tblGrid>
    <w:tr w:rsidR="007D4EFF" w:rsidRPr="00E63456" w:rsidTr="000D1023">
      <w:tc>
        <w:tcPr>
          <w:tcW w:w="4503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7D4EFF" w:rsidRPr="00DD2932" w:rsidRDefault="007D4EFF" w:rsidP="007D4EFF">
          <w:pPr>
            <w:pStyle w:val="Sidhuvud"/>
            <w:spacing w:after="80"/>
            <w:rPr>
              <w:rFonts w:ascii="Arial" w:hAnsi="Arial" w:cs="Arial"/>
              <w:sz w:val="32"/>
              <w:szCs w:val="32"/>
            </w:rPr>
          </w:pPr>
          <w:r w:rsidRPr="00DD2932">
            <w:rPr>
              <w:rFonts w:ascii="Arial" w:hAnsi="Arial" w:cs="Arial"/>
              <w:sz w:val="32"/>
              <w:szCs w:val="32"/>
            </w:rPr>
            <w:t>EC Utbildning</w:t>
          </w:r>
        </w:p>
      </w:tc>
      <w:tc>
        <w:tcPr>
          <w:tcW w:w="2642" w:type="dxa"/>
          <w:vAlign w:val="bottom"/>
        </w:tcPr>
        <w:p w:rsidR="007D4EFF" w:rsidRPr="004A0D68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Datum</w:t>
          </w:r>
        </w:p>
        <w:sdt>
          <w:sdtPr>
            <w:rPr>
              <w:rFonts w:ascii="Arial" w:hAnsi="Arial" w:cs="Arial"/>
              <w:sz w:val="20"/>
              <w:szCs w:val="20"/>
            </w:rPr>
            <w:alias w:val="Publiceringsdatum"/>
            <w:id w:val="10743122"/>
            <w:dataBinding w:prefixMappings="xmlns:ns0='http://schemas.microsoft.com/office/2006/coverPageProps' " w:xpath="/ns0:CoverPageProperties[1]/ns0:PublishDate[1]" w:storeItemID="{55AF091B-3C7A-41E3-B477-F2FDAA23CFDA}"/>
            <w:date w:fullDate="2019-09-19T00:00:00Z">
              <w:dateFormat w:val="yyyy-MM-dd"/>
              <w:lid w:val="sv-SE"/>
              <w:storeMappedDataAs w:val="dateTime"/>
              <w:calendar w:val="gregorian"/>
            </w:date>
          </w:sdtPr>
          <w:sdtContent>
            <w:p w:rsidR="007D4EFF" w:rsidRPr="00E63456" w:rsidRDefault="007D4EFF" w:rsidP="007D4EFF">
              <w:pPr>
                <w:pStyle w:val="Sidhuvud"/>
                <w:spacing w:after="80"/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2019-09-19</w:t>
              </w:r>
            </w:p>
          </w:sdtContent>
        </w:sdt>
      </w:tc>
      <w:tc>
        <w:tcPr>
          <w:tcW w:w="2143" w:type="dxa"/>
        </w:tcPr>
        <w:p w:rsidR="007D4EFF" w:rsidRPr="000D78BC" w:rsidRDefault="007D4EFF" w:rsidP="007D4EFF">
          <w:pPr>
            <w:pStyle w:val="Sidhuvud"/>
            <w:spacing w:after="8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Sida </w:t>
          </w:r>
          <w:r w:rsidRPr="000E06FB">
            <w:rPr>
              <w:rFonts w:ascii="Arial" w:hAnsi="Arial" w:cs="Arial"/>
              <w:sz w:val="20"/>
              <w:szCs w:val="20"/>
            </w:rPr>
            <w:fldChar w:fldCharType="begin"/>
          </w:r>
          <w:r w:rsidRPr="000E06FB">
            <w:rPr>
              <w:rFonts w:ascii="Arial" w:hAnsi="Arial" w:cs="Arial"/>
              <w:sz w:val="20"/>
              <w:szCs w:val="20"/>
            </w:rPr>
            <w:instrText xml:space="preserve"> PAGE  \* Arabic </w:instrText>
          </w:r>
          <w:r w:rsidRPr="000E06FB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3</w:t>
          </w:r>
          <w:r w:rsidRPr="000E06FB">
            <w:rPr>
              <w:rFonts w:ascii="Arial" w:hAnsi="Arial" w:cs="Arial"/>
              <w:sz w:val="20"/>
              <w:szCs w:val="20"/>
            </w:rPr>
            <w:fldChar w:fldCharType="end"/>
          </w:r>
          <w:r w:rsidRPr="000E06FB">
            <w:rPr>
              <w:rFonts w:ascii="Arial" w:hAnsi="Arial" w:cs="Arial"/>
              <w:sz w:val="20"/>
              <w:szCs w:val="20"/>
            </w:rPr>
            <w:t xml:space="preserve"> (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Pr="004679E8">
            <w:rPr>
              <w:rFonts w:ascii="Arial" w:hAnsi="Arial" w:cs="Arial"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0E06FB">
            <w:rPr>
              <w:rFonts w:ascii="Arial" w:hAnsi="Arial" w:cs="Arial"/>
              <w:sz w:val="20"/>
              <w:szCs w:val="20"/>
            </w:rPr>
            <w:t>)</w:t>
          </w:r>
        </w:p>
      </w:tc>
    </w:tr>
    <w:tr w:rsidR="007D4EFF" w:rsidRPr="00E63456" w:rsidTr="000D1023">
      <w:tc>
        <w:tcPr>
          <w:tcW w:w="4503" w:type="dxa"/>
          <w:tcBorders>
            <w:top w:val="single" w:sz="4" w:space="0" w:color="auto"/>
          </w:tcBorders>
          <w:vAlign w:val="bottom"/>
        </w:tcPr>
        <w:p w:rsidR="007D4EFF" w:rsidRPr="004A0D68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Dokumentnamn</w:t>
          </w:r>
        </w:p>
        <w:sdt>
          <w:sdtPr>
            <w:rPr>
              <w:rFonts w:ascii="Arial" w:hAnsi="Arial" w:cs="Arial"/>
              <w:sz w:val="20"/>
              <w:szCs w:val="20"/>
              <w:lang w:val="en-GB"/>
            </w:rPr>
            <w:alias w:val="Ämne"/>
            <w:id w:val="10743131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D4EFF" w:rsidRPr="007D4EFF" w:rsidRDefault="007D4EFF" w:rsidP="007D4EFF">
              <w:pPr>
                <w:pStyle w:val="Sidhuvud"/>
                <w:spacing w:after="80"/>
                <w:rPr>
                  <w:rFonts w:ascii="Arial" w:hAnsi="Arial" w:cs="Arial"/>
                  <w:sz w:val="20"/>
                  <w:szCs w:val="20"/>
                  <w:lang w:val="en-GB"/>
                </w:rPr>
              </w:pPr>
              <w:r w:rsidRPr="007D4EFF">
                <w:rPr>
                  <w:rFonts w:ascii="Arial" w:hAnsi="Arial" w:cs="Arial"/>
                  <w:sz w:val="20"/>
                  <w:szCs w:val="20"/>
                  <w:lang w:val="en-GB"/>
                </w:rPr>
                <w:t>TR-001 Test</w:t>
              </w:r>
              <w:r w:rsidR="008A0F9B"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 Summary Report for</w:t>
              </w:r>
              <w:r w:rsidRPr="007D4EFF"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 Sweden Ban</w:t>
              </w:r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k</w:t>
              </w:r>
            </w:p>
          </w:sdtContent>
        </w:sdt>
      </w:tc>
      <w:tc>
        <w:tcPr>
          <w:tcW w:w="2642" w:type="dxa"/>
          <w:vAlign w:val="bottom"/>
        </w:tcPr>
        <w:p w:rsidR="007D4EFF" w:rsidRPr="004A0D68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 w:rsidRPr="004A0D68">
            <w:rPr>
              <w:rFonts w:ascii="Arial" w:hAnsi="Arial" w:cs="Arial"/>
              <w:sz w:val="16"/>
              <w:szCs w:val="16"/>
            </w:rPr>
            <w:t>Dokumenttyp</w:t>
          </w:r>
        </w:p>
        <w:sdt>
          <w:sdtPr>
            <w:rPr>
              <w:rFonts w:ascii="Arial" w:hAnsi="Arial" w:cs="Arial"/>
              <w:sz w:val="20"/>
              <w:szCs w:val="20"/>
            </w:rPr>
            <w:alias w:val="Kategori"/>
            <w:id w:val="10743110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7D4EFF" w:rsidRPr="00E63456" w:rsidRDefault="007D4EFF" w:rsidP="007D4EFF">
              <w:pPr>
                <w:pStyle w:val="Sidhuvud"/>
                <w:spacing w:after="80"/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Test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report</w:t>
              </w:r>
              <w:proofErr w:type="spellEnd"/>
            </w:p>
          </w:sdtContent>
        </w:sdt>
      </w:tc>
      <w:tc>
        <w:tcPr>
          <w:tcW w:w="2143" w:type="dxa"/>
          <w:vAlign w:val="center"/>
        </w:tcPr>
        <w:p w:rsidR="007D4EFF" w:rsidRPr="004A0D68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</w:t>
          </w:r>
        </w:p>
        <w:sdt>
          <w:sdtPr>
            <w:rPr>
              <w:rFonts w:ascii="Arial" w:hAnsi="Arial" w:cs="Arial"/>
              <w:sz w:val="20"/>
              <w:szCs w:val="20"/>
            </w:rPr>
            <w:alias w:val="Kategori"/>
            <w:id w:val="1762028149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7D4EFF" w:rsidRPr="00C0525D" w:rsidRDefault="007D4EFF" w:rsidP="007D4EFF">
              <w:pPr>
                <w:pStyle w:val="Sidhuvud"/>
                <w:spacing w:after="80"/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Test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report</w:t>
              </w:r>
              <w:proofErr w:type="spellEnd"/>
            </w:p>
          </w:sdtContent>
        </w:sdt>
      </w:tc>
    </w:tr>
    <w:tr w:rsidR="007D4EFF" w:rsidRPr="00E63456" w:rsidTr="000D1023">
      <w:trPr>
        <w:trHeight w:val="609"/>
      </w:trPr>
      <w:tc>
        <w:tcPr>
          <w:tcW w:w="4503" w:type="dxa"/>
          <w:vAlign w:val="bottom"/>
        </w:tcPr>
        <w:p w:rsidR="007D4EFF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Författare</w:t>
          </w:r>
        </w:p>
        <w:p w:rsidR="007D4EFF" w:rsidRPr="000E06FB" w:rsidRDefault="007D4EFF" w:rsidP="007D4EFF">
          <w:pPr>
            <w:pStyle w:val="Sidhuvud"/>
            <w:spacing w:after="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Mohammed Amayri, AMA &amp; Javad Durrani </w:t>
          </w:r>
        </w:p>
      </w:tc>
      <w:tc>
        <w:tcPr>
          <w:tcW w:w="4785" w:type="dxa"/>
          <w:gridSpan w:val="2"/>
          <w:vAlign w:val="bottom"/>
        </w:tcPr>
        <w:p w:rsidR="007D4EFF" w:rsidRDefault="007D4EFF" w:rsidP="007D4EFF">
          <w:pPr>
            <w:pStyle w:val="Sidhuvud"/>
            <w:spacing w:after="8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Ansvarig</w:t>
          </w:r>
        </w:p>
        <w:p w:rsidR="007D4EFF" w:rsidRPr="000E06FB" w:rsidRDefault="007D4EFF" w:rsidP="007D4EFF">
          <w:pPr>
            <w:pStyle w:val="Sidhuvud"/>
            <w:spacing w:after="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EC Utbildning</w:t>
          </w:r>
        </w:p>
      </w:tc>
    </w:tr>
  </w:tbl>
  <w:p w:rsidR="007D4EFF" w:rsidRDefault="007D4EF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5283"/>
    <w:multiLevelType w:val="hybridMultilevel"/>
    <w:tmpl w:val="DFA8B956"/>
    <w:lvl w:ilvl="0" w:tplc="7C58CBB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4B"/>
    <w:rsid w:val="00000C60"/>
    <w:rsid w:val="000143B4"/>
    <w:rsid w:val="00094B9F"/>
    <w:rsid w:val="000D13E6"/>
    <w:rsid w:val="001356A4"/>
    <w:rsid w:val="0014354B"/>
    <w:rsid w:val="001B21A6"/>
    <w:rsid w:val="00223D07"/>
    <w:rsid w:val="00274BC7"/>
    <w:rsid w:val="002A5C89"/>
    <w:rsid w:val="00347BD0"/>
    <w:rsid w:val="003E4340"/>
    <w:rsid w:val="0040408D"/>
    <w:rsid w:val="00421EB7"/>
    <w:rsid w:val="0043473B"/>
    <w:rsid w:val="00536F61"/>
    <w:rsid w:val="005921AC"/>
    <w:rsid w:val="005D28D6"/>
    <w:rsid w:val="00623D4E"/>
    <w:rsid w:val="00684E9F"/>
    <w:rsid w:val="00692218"/>
    <w:rsid w:val="006B20FA"/>
    <w:rsid w:val="006D3DC1"/>
    <w:rsid w:val="006E073E"/>
    <w:rsid w:val="007A6737"/>
    <w:rsid w:val="007B1F06"/>
    <w:rsid w:val="007D4EFF"/>
    <w:rsid w:val="00865A6B"/>
    <w:rsid w:val="008A0F9B"/>
    <w:rsid w:val="0090017F"/>
    <w:rsid w:val="00905359"/>
    <w:rsid w:val="009A7838"/>
    <w:rsid w:val="009B0307"/>
    <w:rsid w:val="009C497A"/>
    <w:rsid w:val="009F2463"/>
    <w:rsid w:val="009F3007"/>
    <w:rsid w:val="00A24AD9"/>
    <w:rsid w:val="00AD72BC"/>
    <w:rsid w:val="00B0691B"/>
    <w:rsid w:val="00B30B13"/>
    <w:rsid w:val="00BC27C0"/>
    <w:rsid w:val="00BC5843"/>
    <w:rsid w:val="00BD7626"/>
    <w:rsid w:val="00BE1B8B"/>
    <w:rsid w:val="00BE7279"/>
    <w:rsid w:val="00C03AEE"/>
    <w:rsid w:val="00C1710F"/>
    <w:rsid w:val="00C402D4"/>
    <w:rsid w:val="00C9121B"/>
    <w:rsid w:val="00DC64BD"/>
    <w:rsid w:val="00DD3627"/>
    <w:rsid w:val="00DE2317"/>
    <w:rsid w:val="00DF6B93"/>
    <w:rsid w:val="00E14302"/>
    <w:rsid w:val="00E1496B"/>
    <w:rsid w:val="00E627E2"/>
    <w:rsid w:val="00E63801"/>
    <w:rsid w:val="00EB1C49"/>
    <w:rsid w:val="00EC2085"/>
    <w:rsid w:val="00F021C3"/>
    <w:rsid w:val="00F1289C"/>
    <w:rsid w:val="00F86302"/>
    <w:rsid w:val="00F86B7B"/>
    <w:rsid w:val="00F874F0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17E0"/>
  <w15:chartTrackingRefBased/>
  <w15:docId w15:val="{7E139448-4C03-49C8-9E6C-04E287B2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14354B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4354B"/>
    <w:rPr>
      <w:rFonts w:eastAsiaTheme="minorEastAsia"/>
      <w:lang w:eastAsia="sv-SE"/>
    </w:rPr>
  </w:style>
  <w:style w:type="table" w:styleId="Tabellrutnt">
    <w:name w:val="Table Grid"/>
    <w:basedOn w:val="Normaltabell"/>
    <w:rsid w:val="0022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AD72B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7D4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D4EFF"/>
  </w:style>
  <w:style w:type="paragraph" w:styleId="Sidfot">
    <w:name w:val="footer"/>
    <w:basedOn w:val="Normal"/>
    <w:link w:val="SidfotChar"/>
    <w:uiPriority w:val="99"/>
    <w:unhideWhenUsed/>
    <w:rsid w:val="007D4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D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Cases Pass vs Fail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Blad1!$B$1</c:f>
              <c:strCache>
                <c:ptCount val="1"/>
                <c:pt idx="0">
                  <c:v>Försäljning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75-47CD-99DE-C30248730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75-47CD-99DE-C30248730131}"/>
              </c:ext>
            </c:extLst>
          </c:dPt>
          <c:cat>
            <c:strRef>
              <c:extLst>
                <c:ext xmlns:c15="http://schemas.microsoft.com/office/drawing/2012/chart" uri="{02D57815-91ED-43cb-92C2-25804820EDAC}">
                  <c15:fullRef>
                    <c15:sqref>Blad1!$A$2:$A$5</c15:sqref>
                  </c15:fullRef>
                </c:ext>
              </c:extLst>
              <c:f>Blad1!$A$2:$A$3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Blad1!$B$2:$B$5</c15:sqref>
                  </c15:fullRef>
                </c:ext>
              </c:extLst>
              <c:f>Blad1!$B$2:$B$3</c:f>
              <c:numCache>
                <c:formatCode>General</c:formatCode>
                <c:ptCount val="2"/>
                <c:pt idx="0">
                  <c:v>22</c:v>
                </c:pt>
                <c:pt idx="1">
                  <c:v>2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0-23DD-46BD-A5DA-2A765CB0B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Closed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4"/>
                <c:pt idx="0">
                  <c:v>Critcal</c:v>
                </c:pt>
                <c:pt idx="1">
                  <c:v>Major</c:v>
                </c:pt>
                <c:pt idx="2">
                  <c:v>Medium</c:v>
                </c:pt>
                <c:pt idx="3">
                  <c:v>Cosmetic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B9-4347-B0C0-171B0263FE90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Open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4"/>
                <c:pt idx="0">
                  <c:v>Critcal</c:v>
                </c:pt>
                <c:pt idx="1">
                  <c:v>Major</c:v>
                </c:pt>
                <c:pt idx="2">
                  <c:v>Medium</c:v>
                </c:pt>
                <c:pt idx="3">
                  <c:v>Cosmetic</c:v>
                </c:pt>
              </c:strCache>
            </c:strRef>
          </c:cat>
          <c:val>
            <c:numRef>
              <c:f>Blad1!$C$2:$C$5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B9-4347-B0C0-171B0263F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7897208"/>
        <c:axId val="1337894648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Blad1!$D$1</c15:sqref>
                        </c15:formulaRef>
                      </c:ext>
                    </c:extLst>
                    <c:strCache>
                      <c:ptCount val="1"/>
                      <c:pt idx="0">
                        <c:v>Total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Blad1!$A$2:$A$5</c15:sqref>
                        </c15:formulaRef>
                      </c:ext>
                    </c:extLst>
                    <c:strCache>
                      <c:ptCount val="4"/>
                      <c:pt idx="0">
                        <c:v>Critcal</c:v>
                      </c:pt>
                      <c:pt idx="1">
                        <c:v>Major</c:v>
                      </c:pt>
                      <c:pt idx="2">
                        <c:v>Medium</c:v>
                      </c:pt>
                      <c:pt idx="3">
                        <c:v>Cosmetic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Blad1!$D$2:$D$5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DB9-4347-B0C0-171B0263FE90}"/>
                  </c:ext>
                </c:extLst>
              </c15:ser>
            </c15:filteredBarSeries>
          </c:ext>
        </c:extLst>
      </c:barChart>
      <c:catAx>
        <c:axId val="1337897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37894648"/>
        <c:crosses val="autoZero"/>
        <c:auto val="1"/>
        <c:lblAlgn val="ctr"/>
        <c:lblOffset val="100"/>
        <c:noMultiLvlLbl val="0"/>
      </c:catAx>
      <c:valAx>
        <c:axId val="133789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337897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Blad1!$B$1</c:f>
              <c:strCache>
                <c:ptCount val="1"/>
                <c:pt idx="0">
                  <c:v>Defects distribution - Module wise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7BE-4A44-A641-61436C76FB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7BE-4A44-A641-61436C76FB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7BE-4A44-A641-61436C76FB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7BE-4A44-A641-61436C76FB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F7BE-4A44-A641-61436C76FBF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F7BE-4A44-A641-61436C76FBF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F7BE-4A44-A641-61436C76FBF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F7BE-4A44-A641-61436C76FBF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F7BE-4A44-A641-61436C76FBF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F7BE-4A44-A641-61436C76FBF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F7BE-4A44-A641-61436C76FBF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F7BE-4A44-A641-61436C76FBF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F7BE-4A44-A641-61436C76FBF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F7BE-4A44-A641-61436C76FBF2}"/>
              </c:ext>
            </c:extLst>
          </c:dPt>
          <c:cat>
            <c:strRef>
              <c:f>Blad1!$A$2:$A$15</c:f>
              <c:strCache>
                <c:ptCount val="14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  <c:pt idx="8">
                  <c:v>#9</c:v>
                </c:pt>
                <c:pt idx="9">
                  <c:v>#10</c:v>
                </c:pt>
                <c:pt idx="10">
                  <c:v>#11</c:v>
                </c:pt>
                <c:pt idx="11">
                  <c:v>#12</c:v>
                </c:pt>
                <c:pt idx="12">
                  <c:v>#13</c:v>
                </c:pt>
                <c:pt idx="13">
                  <c:v>#14</c:v>
                </c:pt>
              </c:strCache>
            </c:strRef>
          </c:cat>
          <c:val>
            <c:numRef>
              <c:f>Blad1!$B$2:$B$15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F-4A96-BE22-5B05A41F8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759C4-5728-478F-B3CF-95A8E898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627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Test summary report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>TR-001 Test Summary Report for Sweden Bank</dc:subject>
  <dc:creator>Javad Durrani, Mohammed Amayri &amp; AMA</dc:creator>
  <cp:keywords/>
  <dc:description/>
  <cp:lastModifiedBy>Javad Durrani</cp:lastModifiedBy>
  <cp:revision>2</cp:revision>
  <dcterms:created xsi:type="dcterms:W3CDTF">2019-09-19T10:06:00Z</dcterms:created>
  <dcterms:modified xsi:type="dcterms:W3CDTF">2019-09-19T10:06:00Z</dcterms:modified>
  <cp:category>Test report</cp:category>
</cp:coreProperties>
</file>