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pPr w:leftFromText="141" w:rightFromText="141" w:vertAnchor="text" w:horzAnchor="margin" w:tblpXSpec="center" w:tblpY="3710"/>
        <w:tblW w:w="6098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666"/>
        <w:gridCol w:w="1432"/>
        <w:gridCol w:w="1682"/>
        <w:gridCol w:w="997"/>
        <w:gridCol w:w="997"/>
        <w:gridCol w:w="2639"/>
        <w:gridCol w:w="2639"/>
      </w:tblGrid>
      <w:tr w:rsidR="0067749C" w:rsidTr="0027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:rsidR="0084410C" w:rsidRDefault="0084410C" w:rsidP="0067749C">
            <w:pPr>
              <w:jc w:val="center"/>
            </w:pPr>
            <w:proofErr w:type="spellStart"/>
            <w:r>
              <w:t>Num</w:t>
            </w:r>
            <w:proofErr w:type="spellEnd"/>
            <w:r>
              <w:t xml:space="preserve"> bug</w:t>
            </w:r>
          </w:p>
        </w:tc>
        <w:tc>
          <w:tcPr>
            <w:tcW w:w="648" w:type="pct"/>
            <w:vAlign w:val="center"/>
          </w:tcPr>
          <w:p w:rsidR="0084410C" w:rsidRDefault="0084410C" w:rsidP="00677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</w:t>
            </w:r>
          </w:p>
        </w:tc>
        <w:tc>
          <w:tcPr>
            <w:tcW w:w="761" w:type="pct"/>
            <w:vAlign w:val="center"/>
          </w:tcPr>
          <w:p w:rsidR="0084410C" w:rsidRDefault="0084410C" w:rsidP="00677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10C">
              <w:rPr>
                <w:sz w:val="20"/>
              </w:rPr>
              <w:t>Reproductibilité</w:t>
            </w:r>
          </w:p>
        </w:tc>
        <w:tc>
          <w:tcPr>
            <w:tcW w:w="451" w:type="pct"/>
            <w:vAlign w:val="center"/>
          </w:tcPr>
          <w:p w:rsidR="0084410C" w:rsidRDefault="0084410C" w:rsidP="00677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sévérité</w:t>
            </w:r>
          </w:p>
        </w:tc>
        <w:tc>
          <w:tcPr>
            <w:tcW w:w="451" w:type="pct"/>
            <w:vAlign w:val="center"/>
          </w:tcPr>
          <w:p w:rsidR="0084410C" w:rsidRDefault="0084410C" w:rsidP="00677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1194" w:type="pct"/>
            <w:vAlign w:val="center"/>
          </w:tcPr>
          <w:p w:rsidR="0084410C" w:rsidRDefault="0084410C" w:rsidP="00677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94" w:type="pct"/>
            <w:vAlign w:val="center"/>
          </w:tcPr>
          <w:p w:rsidR="0084410C" w:rsidRDefault="0084410C" w:rsidP="00677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Etapes pour reproduire</w:t>
            </w:r>
          </w:p>
        </w:tc>
      </w:tr>
      <w:tr w:rsidR="0067749C" w:rsidTr="0027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:rsidR="0084410C" w:rsidRDefault="0084410C" w:rsidP="0067749C">
            <w:pPr>
              <w:jc w:val="center"/>
            </w:pPr>
            <w:r>
              <w:t>1</w:t>
            </w:r>
          </w:p>
        </w:tc>
        <w:tc>
          <w:tcPr>
            <w:tcW w:w="648" w:type="pct"/>
            <w:vAlign w:val="center"/>
          </w:tcPr>
          <w:p w:rsidR="0084410C" w:rsidRDefault="0067749C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Persistance</w:t>
            </w:r>
          </w:p>
        </w:tc>
        <w:tc>
          <w:tcPr>
            <w:tcW w:w="761" w:type="pct"/>
            <w:vAlign w:val="center"/>
          </w:tcPr>
          <w:p w:rsidR="0084410C" w:rsidRDefault="0067749C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toujours</w:t>
            </w:r>
          </w:p>
        </w:tc>
        <w:tc>
          <w:tcPr>
            <w:tcW w:w="451" w:type="pct"/>
            <w:vAlign w:val="center"/>
          </w:tcPr>
          <w:p w:rsidR="0084410C" w:rsidRDefault="0067749C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majeur</w:t>
            </w:r>
          </w:p>
        </w:tc>
        <w:tc>
          <w:tcPr>
            <w:tcW w:w="451" w:type="pct"/>
            <w:vAlign w:val="center"/>
          </w:tcPr>
          <w:p w:rsidR="0084410C" w:rsidRDefault="0067749C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Elevée</w:t>
            </w:r>
          </w:p>
        </w:tc>
        <w:tc>
          <w:tcPr>
            <w:tcW w:w="1194" w:type="pct"/>
            <w:vAlign w:val="center"/>
          </w:tcPr>
          <w:p w:rsidR="0067749C" w:rsidRDefault="0067749C" w:rsidP="00272C7D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utilisant les annotations </w:t>
            </w:r>
            <w:proofErr w:type="spellStart"/>
            <w:r>
              <w:t>OneTOne</w:t>
            </w:r>
            <w:proofErr w:type="spellEnd"/>
            <w:r>
              <w:t xml:space="preserve">, </w:t>
            </w:r>
            <w:proofErr w:type="spellStart"/>
            <w:r>
              <w:t>OneToMany</w:t>
            </w:r>
            <w:proofErr w:type="spellEnd"/>
            <w:r>
              <w:t xml:space="preserve"> et </w:t>
            </w:r>
            <w:proofErr w:type="spellStart"/>
            <w:r>
              <w:t>ManyToOne</w:t>
            </w:r>
            <w:proofErr w:type="spellEnd"/>
            <w:r>
              <w:t xml:space="preserve">. L’application lance une exception quand on essaie de persister les entités. Après quelques recherches, Il s’avère qu’un bug </w:t>
            </w:r>
            <w:proofErr w:type="spellStart"/>
            <w:r>
              <w:t>Glassfish</w:t>
            </w:r>
            <w:proofErr w:type="spellEnd"/>
            <w:r>
              <w:t xml:space="preserve"> fait que la </w:t>
            </w:r>
            <w:proofErr w:type="spellStart"/>
            <w:r>
              <w:t>Factory</w:t>
            </w:r>
            <w:proofErr w:type="spellEnd"/>
            <w:r>
              <w:t xml:space="preserve"> d’</w:t>
            </w:r>
            <w:proofErr w:type="spellStart"/>
            <w:r>
              <w:t>entityManager</w:t>
            </w:r>
            <w:proofErr w:type="spellEnd"/>
            <w:r>
              <w:t xml:space="preserve"> reste fermée</w:t>
            </w:r>
            <w:r w:rsidR="00AE0CAA">
              <w:t xml:space="preserve"> notamment lorsqu’on utilise le design pattern façade pour la partie métier</w:t>
            </w:r>
            <w:r>
              <w:t>.  On s’est donc débrouillé pour les éviter.</w:t>
            </w:r>
          </w:p>
        </w:tc>
        <w:tc>
          <w:tcPr>
            <w:tcW w:w="1194" w:type="pct"/>
          </w:tcPr>
          <w:p w:rsidR="0084410C" w:rsidRDefault="0067749C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Utiliser les annotations  </w:t>
            </w:r>
            <w:proofErr w:type="spellStart"/>
            <w:r>
              <w:t>OneTOne</w:t>
            </w:r>
            <w:proofErr w:type="spellEnd"/>
            <w:r>
              <w:t xml:space="preserve">, </w:t>
            </w:r>
            <w:proofErr w:type="spellStart"/>
            <w:r>
              <w:t>OneToMany</w:t>
            </w:r>
            <w:proofErr w:type="spellEnd"/>
            <w:r>
              <w:t xml:space="preserve"> et </w:t>
            </w:r>
            <w:proofErr w:type="spellStart"/>
            <w:r>
              <w:t>ManyToOne</w:t>
            </w:r>
            <w:proofErr w:type="spellEnd"/>
            <w:r>
              <w:t xml:space="preserve"> dans les entités.</w:t>
            </w:r>
          </w:p>
        </w:tc>
      </w:tr>
      <w:tr w:rsidR="0067749C" w:rsidTr="0027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:rsidR="0084410C" w:rsidRDefault="0084410C" w:rsidP="0067749C">
            <w:pPr>
              <w:jc w:val="center"/>
            </w:pPr>
            <w:r>
              <w:t>2</w:t>
            </w:r>
          </w:p>
        </w:tc>
        <w:tc>
          <w:tcPr>
            <w:tcW w:w="648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Présentation</w:t>
            </w:r>
          </w:p>
        </w:tc>
        <w:tc>
          <w:tcPr>
            <w:tcW w:w="761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toujours</w:t>
            </w:r>
          </w:p>
        </w:tc>
        <w:tc>
          <w:tcPr>
            <w:tcW w:w="451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mineur</w:t>
            </w:r>
          </w:p>
        </w:tc>
        <w:tc>
          <w:tcPr>
            <w:tcW w:w="451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normale</w:t>
            </w:r>
          </w:p>
        </w:tc>
        <w:tc>
          <w:tcPr>
            <w:tcW w:w="1194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a testé le </w:t>
            </w:r>
            <w:proofErr w:type="spellStart"/>
            <w:r>
              <w:t>managed</w:t>
            </w:r>
            <w:proofErr w:type="spellEnd"/>
            <w:r>
              <w:t xml:space="preserve"> </w:t>
            </w:r>
            <w:proofErr w:type="spellStart"/>
            <w:r>
              <w:t>bean</w:t>
            </w:r>
            <w:proofErr w:type="spellEnd"/>
            <w:r>
              <w:t xml:space="preserve"> session qui s’occupe de l’i18n mais la Locale reste la même. </w:t>
            </w:r>
            <w:proofErr w:type="gramStart"/>
            <w:r>
              <w:t>On a</w:t>
            </w:r>
            <w:proofErr w:type="gramEnd"/>
            <w:r>
              <w:t xml:space="preserve"> donc pas utilisé les </w:t>
            </w:r>
            <w:proofErr w:type="spellStart"/>
            <w:r>
              <w:t>ressrources</w:t>
            </w:r>
            <w:proofErr w:type="spellEnd"/>
            <w:r>
              <w:t xml:space="preserve"> bundle pour terminer l’application le plus vite possible</w:t>
            </w:r>
          </w:p>
        </w:tc>
        <w:tc>
          <w:tcPr>
            <w:tcW w:w="1194" w:type="pct"/>
          </w:tcPr>
          <w:p w:rsidR="0084410C" w:rsidRDefault="0084410C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749C" w:rsidTr="0027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:rsidR="0084410C" w:rsidRDefault="0084410C" w:rsidP="0067749C">
            <w:pPr>
              <w:jc w:val="center"/>
            </w:pPr>
            <w:r>
              <w:lastRenderedPageBreak/>
              <w:t>3</w:t>
            </w:r>
          </w:p>
        </w:tc>
        <w:tc>
          <w:tcPr>
            <w:tcW w:w="648" w:type="pct"/>
          </w:tcPr>
          <w:p w:rsidR="0084410C" w:rsidRDefault="008D2083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Présentation</w:t>
            </w:r>
          </w:p>
        </w:tc>
        <w:tc>
          <w:tcPr>
            <w:tcW w:w="761" w:type="pct"/>
          </w:tcPr>
          <w:p w:rsidR="0084410C" w:rsidRDefault="008D2083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toujours</w:t>
            </w:r>
          </w:p>
        </w:tc>
        <w:tc>
          <w:tcPr>
            <w:tcW w:w="451" w:type="pct"/>
          </w:tcPr>
          <w:p w:rsidR="0084410C" w:rsidRDefault="008D2083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majeur</w:t>
            </w:r>
          </w:p>
        </w:tc>
        <w:tc>
          <w:tcPr>
            <w:tcW w:w="451" w:type="pct"/>
          </w:tcPr>
          <w:p w:rsidR="0084410C" w:rsidRDefault="008D2083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Elevée</w:t>
            </w:r>
          </w:p>
        </w:tc>
        <w:tc>
          <w:tcPr>
            <w:tcW w:w="1194" w:type="pct"/>
          </w:tcPr>
          <w:p w:rsidR="0084410C" w:rsidRDefault="008D2083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n’a pas </w:t>
            </w:r>
            <w:proofErr w:type="gramStart"/>
            <w:r>
              <w:t>créer</w:t>
            </w:r>
            <w:proofErr w:type="gramEnd"/>
            <w:r>
              <w:t xml:space="preserve"> les pages pour créer des transactions (dépôt, retrait, transfert) mais la partie métier et persistance pour les implémenter existe (Aussi les </w:t>
            </w:r>
            <w:proofErr w:type="spellStart"/>
            <w:r>
              <w:t>managed</w:t>
            </w:r>
            <w:proofErr w:type="spellEnd"/>
            <w:r>
              <w:t xml:space="preserve"> </w:t>
            </w:r>
            <w:proofErr w:type="spellStart"/>
            <w:r>
              <w:t>beans</w:t>
            </w:r>
            <w:proofErr w:type="spellEnd"/>
            <w:r>
              <w:t>)</w:t>
            </w:r>
          </w:p>
        </w:tc>
        <w:tc>
          <w:tcPr>
            <w:tcW w:w="1194" w:type="pct"/>
          </w:tcPr>
          <w:p w:rsidR="0084410C" w:rsidRDefault="008D2083" w:rsidP="0027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7749C" w:rsidTr="0027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:rsidR="0084410C" w:rsidRDefault="0084410C" w:rsidP="0067749C">
            <w:pPr>
              <w:jc w:val="center"/>
            </w:pPr>
            <w:r>
              <w:t>4</w:t>
            </w:r>
          </w:p>
        </w:tc>
        <w:tc>
          <w:tcPr>
            <w:tcW w:w="648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métier</w:t>
            </w:r>
          </w:p>
        </w:tc>
        <w:tc>
          <w:tcPr>
            <w:tcW w:w="761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toujours</w:t>
            </w:r>
          </w:p>
        </w:tc>
        <w:tc>
          <w:tcPr>
            <w:tcW w:w="451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majeur</w:t>
            </w:r>
          </w:p>
        </w:tc>
        <w:tc>
          <w:tcPr>
            <w:tcW w:w="451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normale</w:t>
            </w:r>
          </w:p>
        </w:tc>
        <w:tc>
          <w:tcPr>
            <w:tcW w:w="1194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n’a pas implémenté dans les </w:t>
            </w:r>
            <w:proofErr w:type="spellStart"/>
            <w:r>
              <w:t>ejb</w:t>
            </w:r>
            <w:proofErr w:type="spellEnd"/>
            <w:r>
              <w:t xml:space="preserve"> les recherches </w:t>
            </w:r>
            <w:r w:rsidR="00272C7D">
              <w:t>multicritères</w:t>
            </w:r>
          </w:p>
        </w:tc>
        <w:tc>
          <w:tcPr>
            <w:tcW w:w="1194" w:type="pct"/>
          </w:tcPr>
          <w:p w:rsidR="0084410C" w:rsidRDefault="008D2083" w:rsidP="00272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E3C8D" w:rsidRDefault="00766AE0" w:rsidP="00766AE0">
      <w:pPr>
        <w:pStyle w:val="Title"/>
      </w:pPr>
      <w:r>
        <w:lastRenderedPageBreak/>
        <w:t>Tableaux des bugs</w:t>
      </w:r>
    </w:p>
    <w:p w:rsidR="00766AE0" w:rsidRDefault="00766AE0"/>
    <w:tbl>
      <w:tblPr>
        <w:tblStyle w:val="TableGrid"/>
        <w:tblpPr w:leftFromText="141" w:rightFromText="141" w:vertAnchor="text" w:horzAnchor="margin" w:tblpY="383"/>
        <w:tblW w:w="5000" w:type="pct"/>
        <w:tblLook w:val="04A0" w:firstRow="1" w:lastRow="0" w:firstColumn="1" w:lastColumn="0" w:noHBand="0" w:noVBand="1"/>
      </w:tblPr>
      <w:tblGrid>
        <w:gridCol w:w="2646"/>
        <w:gridCol w:w="1972"/>
        <w:gridCol w:w="1638"/>
        <w:gridCol w:w="2806"/>
      </w:tblGrid>
      <w:tr w:rsidR="0067749C" w:rsidTr="0067749C">
        <w:tc>
          <w:tcPr>
            <w:tcW w:w="1460" w:type="pct"/>
            <w:shd w:val="clear" w:color="auto" w:fill="DBE5F1" w:themeFill="accent1" w:themeFillTint="33"/>
          </w:tcPr>
          <w:p w:rsidR="0067749C" w:rsidRPr="00287F55" w:rsidRDefault="0067749C" w:rsidP="00766AE0">
            <w:pPr>
              <w:rPr>
                <w:u w:val="single"/>
              </w:rPr>
            </w:pPr>
            <w:r w:rsidRPr="00287F55">
              <w:rPr>
                <w:u w:val="single"/>
              </w:rPr>
              <w:t>Cat</w:t>
            </w:r>
            <w:r w:rsidRPr="00287F55">
              <w:rPr>
                <w:rFonts w:hint="cs"/>
                <w:u w:val="single"/>
              </w:rPr>
              <w:t>é</w:t>
            </w:r>
            <w:r w:rsidRPr="00287F55">
              <w:rPr>
                <w:u w:val="single"/>
              </w:rPr>
              <w:t>gorie</w:t>
            </w:r>
          </w:p>
        </w:tc>
        <w:tc>
          <w:tcPr>
            <w:tcW w:w="1088" w:type="pct"/>
          </w:tcPr>
          <w:p w:rsidR="0067749C" w:rsidRPr="00287F55" w:rsidRDefault="0067749C" w:rsidP="00766AE0">
            <w:pPr>
              <w:jc w:val="center"/>
              <w:rPr>
                <w:b/>
              </w:rPr>
            </w:pPr>
            <w:r>
              <w:t>Persistance</w:t>
            </w:r>
          </w:p>
        </w:tc>
        <w:tc>
          <w:tcPr>
            <w:tcW w:w="904" w:type="pct"/>
          </w:tcPr>
          <w:p w:rsidR="0067749C" w:rsidRPr="00287F55" w:rsidRDefault="0067749C" w:rsidP="00766AE0">
            <w:pPr>
              <w:jc w:val="center"/>
              <w:rPr>
                <w:b/>
              </w:rPr>
            </w:pPr>
            <w:r>
              <w:t>Métier</w:t>
            </w:r>
          </w:p>
        </w:tc>
        <w:tc>
          <w:tcPr>
            <w:tcW w:w="1549" w:type="pct"/>
          </w:tcPr>
          <w:p w:rsidR="0067749C" w:rsidRPr="00287F55" w:rsidRDefault="0067749C" w:rsidP="00766AE0">
            <w:pPr>
              <w:jc w:val="center"/>
              <w:rPr>
                <w:b/>
              </w:rPr>
            </w:pPr>
            <w:r>
              <w:t>Présentation</w:t>
            </w:r>
          </w:p>
        </w:tc>
      </w:tr>
      <w:tr w:rsidR="0067749C" w:rsidTr="0067749C">
        <w:tc>
          <w:tcPr>
            <w:tcW w:w="1460" w:type="pct"/>
            <w:shd w:val="clear" w:color="auto" w:fill="DBE5F1" w:themeFill="accent1" w:themeFillTint="33"/>
          </w:tcPr>
          <w:p w:rsidR="0067749C" w:rsidRPr="00287F55" w:rsidRDefault="0067749C" w:rsidP="00766AE0">
            <w:pPr>
              <w:rPr>
                <w:u w:val="single"/>
              </w:rPr>
            </w:pPr>
            <w:r w:rsidRPr="00287F55">
              <w:rPr>
                <w:u w:val="single"/>
              </w:rPr>
              <w:t>Reproductibilit</w:t>
            </w:r>
            <w:r w:rsidRPr="00287F55">
              <w:rPr>
                <w:rFonts w:hint="cs"/>
                <w:u w:val="single"/>
              </w:rPr>
              <w:t>é</w:t>
            </w:r>
          </w:p>
        </w:tc>
        <w:tc>
          <w:tcPr>
            <w:tcW w:w="1088" w:type="pct"/>
          </w:tcPr>
          <w:p w:rsidR="0067749C" w:rsidRDefault="0067749C" w:rsidP="00766AE0">
            <w:pPr>
              <w:jc w:val="center"/>
            </w:pPr>
            <w:r>
              <w:t>toujours</w:t>
            </w:r>
          </w:p>
        </w:tc>
        <w:tc>
          <w:tcPr>
            <w:tcW w:w="904" w:type="pct"/>
          </w:tcPr>
          <w:p w:rsidR="0067749C" w:rsidRDefault="0067749C" w:rsidP="00766AE0">
            <w:pPr>
              <w:jc w:val="center"/>
            </w:pPr>
            <w:r>
              <w:t>aléatoire</w:t>
            </w:r>
          </w:p>
        </w:tc>
        <w:tc>
          <w:tcPr>
            <w:tcW w:w="1549" w:type="pct"/>
          </w:tcPr>
          <w:p w:rsidR="0067749C" w:rsidRDefault="0067749C" w:rsidP="00766AE0">
            <w:pPr>
              <w:jc w:val="center"/>
            </w:pPr>
            <w:r>
              <w:t>Cas particuliers</w:t>
            </w:r>
          </w:p>
        </w:tc>
      </w:tr>
      <w:tr w:rsidR="0067749C" w:rsidTr="0067749C">
        <w:tc>
          <w:tcPr>
            <w:tcW w:w="1460" w:type="pct"/>
            <w:shd w:val="clear" w:color="auto" w:fill="DBE5F1" w:themeFill="accent1" w:themeFillTint="33"/>
          </w:tcPr>
          <w:p w:rsidR="0067749C" w:rsidRPr="00287F55" w:rsidRDefault="0067749C" w:rsidP="00766AE0">
            <w:pPr>
              <w:rPr>
                <w:u w:val="single"/>
              </w:rPr>
            </w:pPr>
            <w:r w:rsidRPr="00287F55">
              <w:rPr>
                <w:u w:val="single"/>
              </w:rPr>
              <w:t>S</w:t>
            </w:r>
            <w:r w:rsidRPr="00287F55">
              <w:rPr>
                <w:rFonts w:hint="cs"/>
                <w:u w:val="single"/>
              </w:rPr>
              <w:t>é</w:t>
            </w:r>
            <w:r w:rsidRPr="00287F55">
              <w:rPr>
                <w:u w:val="single"/>
              </w:rPr>
              <w:t>v</w:t>
            </w:r>
            <w:r w:rsidRPr="00287F55">
              <w:rPr>
                <w:rFonts w:hint="cs"/>
                <w:u w:val="single"/>
              </w:rPr>
              <w:t>é</w:t>
            </w:r>
            <w:r w:rsidRPr="00287F55">
              <w:rPr>
                <w:u w:val="single"/>
              </w:rPr>
              <w:t>rit</w:t>
            </w:r>
            <w:r w:rsidRPr="00287F55">
              <w:rPr>
                <w:rFonts w:hint="cs"/>
                <w:u w:val="single"/>
              </w:rPr>
              <w:t>é</w:t>
            </w:r>
          </w:p>
        </w:tc>
        <w:tc>
          <w:tcPr>
            <w:tcW w:w="1088" w:type="pct"/>
            <w:shd w:val="clear" w:color="auto" w:fill="92D050"/>
          </w:tcPr>
          <w:p w:rsidR="0067749C" w:rsidRDefault="0067749C" w:rsidP="00766AE0">
            <w:pPr>
              <w:jc w:val="center"/>
            </w:pPr>
            <w:r>
              <w:t>mineur</w:t>
            </w:r>
          </w:p>
        </w:tc>
        <w:tc>
          <w:tcPr>
            <w:tcW w:w="904" w:type="pct"/>
            <w:shd w:val="clear" w:color="auto" w:fill="FFC000"/>
          </w:tcPr>
          <w:p w:rsidR="0067749C" w:rsidRDefault="0067749C" w:rsidP="00766AE0">
            <w:pPr>
              <w:jc w:val="center"/>
            </w:pPr>
            <w:r>
              <w:t>majeur</w:t>
            </w:r>
          </w:p>
        </w:tc>
        <w:tc>
          <w:tcPr>
            <w:tcW w:w="1549" w:type="pct"/>
            <w:shd w:val="clear" w:color="auto" w:fill="FF0000"/>
          </w:tcPr>
          <w:p w:rsidR="0067749C" w:rsidRDefault="0067749C" w:rsidP="00766AE0">
            <w:pPr>
              <w:jc w:val="center"/>
            </w:pPr>
            <w:r>
              <w:t>bloquant</w:t>
            </w:r>
          </w:p>
        </w:tc>
      </w:tr>
      <w:tr w:rsidR="0067749C" w:rsidTr="0067749C">
        <w:tc>
          <w:tcPr>
            <w:tcW w:w="1460" w:type="pct"/>
            <w:shd w:val="clear" w:color="auto" w:fill="DBE5F1" w:themeFill="accent1" w:themeFillTint="33"/>
          </w:tcPr>
          <w:p w:rsidR="0067749C" w:rsidRPr="00287F55" w:rsidRDefault="0067749C" w:rsidP="00766AE0">
            <w:pPr>
              <w:rPr>
                <w:u w:val="single"/>
              </w:rPr>
            </w:pPr>
            <w:r w:rsidRPr="00287F55">
              <w:rPr>
                <w:u w:val="single"/>
              </w:rPr>
              <w:t>Priorit</w:t>
            </w:r>
            <w:r w:rsidRPr="00287F55">
              <w:rPr>
                <w:rFonts w:hint="cs"/>
                <w:u w:val="single"/>
              </w:rPr>
              <w:t>é</w:t>
            </w:r>
          </w:p>
        </w:tc>
        <w:tc>
          <w:tcPr>
            <w:tcW w:w="1088" w:type="pct"/>
          </w:tcPr>
          <w:p w:rsidR="0067749C" w:rsidRDefault="0067749C" w:rsidP="00766AE0">
            <w:pPr>
              <w:jc w:val="center"/>
            </w:pPr>
            <w:r>
              <w:t>basse</w:t>
            </w:r>
          </w:p>
        </w:tc>
        <w:tc>
          <w:tcPr>
            <w:tcW w:w="904" w:type="pct"/>
          </w:tcPr>
          <w:p w:rsidR="0067749C" w:rsidRDefault="0067749C" w:rsidP="00766AE0">
            <w:pPr>
              <w:jc w:val="center"/>
            </w:pPr>
            <w:r>
              <w:t>normale</w:t>
            </w:r>
          </w:p>
        </w:tc>
        <w:tc>
          <w:tcPr>
            <w:tcW w:w="1549" w:type="pct"/>
          </w:tcPr>
          <w:p w:rsidR="0067749C" w:rsidRDefault="0067749C" w:rsidP="00766AE0">
            <w:pPr>
              <w:jc w:val="center"/>
            </w:pPr>
            <w:r>
              <w:t>élevée</w:t>
            </w:r>
          </w:p>
        </w:tc>
      </w:tr>
    </w:tbl>
    <w:p w:rsidR="00287F55" w:rsidRDefault="00287F55">
      <w:bookmarkStart w:id="0" w:name="_GoBack"/>
      <w:bookmarkEnd w:id="0"/>
    </w:p>
    <w:sectPr w:rsidR="00287F55" w:rsidSect="000C782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619B9"/>
    <w:multiLevelType w:val="hybridMultilevel"/>
    <w:tmpl w:val="2B302898"/>
    <w:lvl w:ilvl="0" w:tplc="1CA2C83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2E"/>
    <w:rsid w:val="000C782E"/>
    <w:rsid w:val="00272C7D"/>
    <w:rsid w:val="00287F55"/>
    <w:rsid w:val="004222A2"/>
    <w:rsid w:val="0067749C"/>
    <w:rsid w:val="00766AE0"/>
    <w:rsid w:val="0084410C"/>
    <w:rsid w:val="008D2083"/>
    <w:rsid w:val="00A97536"/>
    <w:rsid w:val="00AE0CAA"/>
    <w:rsid w:val="00B34930"/>
    <w:rsid w:val="00E746E2"/>
    <w:rsid w:val="00EE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F4AC1-D186-4ACD-B84F-467672EA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78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782E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844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8441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41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287F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66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E74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1">
    <w:name w:val="List Table 2 Accent 1"/>
    <w:basedOn w:val="TableNormal"/>
    <w:uiPriority w:val="47"/>
    <w:rsid w:val="00E74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2">
    <w:name w:val="Plain Table 2"/>
    <w:basedOn w:val="TableNormal"/>
    <w:uiPriority w:val="42"/>
    <w:rsid w:val="00E74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67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isp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Bugs</vt:lpstr>
    </vt:vector>
  </TitlesOfParts>
  <Company>MASTER 2 MIAGE NTDP 2015 – EMSI RABAT -- ACE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Bugs</dc:title>
  <dc:subject>Groupe RabatB</dc:subject>
  <dc:creator>Groupe RabatB</dc:creator>
  <cp:keywords/>
  <dc:description/>
  <cp:lastModifiedBy>mohammed amine el jirari</cp:lastModifiedBy>
  <cp:revision>9</cp:revision>
  <cp:lastPrinted>2015-02-05T22:25:00Z</cp:lastPrinted>
  <dcterms:created xsi:type="dcterms:W3CDTF">2015-01-27T22:38:00Z</dcterms:created>
  <dcterms:modified xsi:type="dcterms:W3CDTF">2015-02-05T22:43:00Z</dcterms:modified>
</cp:coreProperties>
</file>