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DOFAAT1534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نبراس حبوة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مصطفي وجيه عبد اللطيف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2312672227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محاسب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غازي عباس للاستشارات الهندسية (VIP)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0541231293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KHA-334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التقرير النهائي الهندسي قبل التشغيل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5000.00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652.17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خمسة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نبراس حبوة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غازي عباس للاستشارات الهندسية (VIP)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