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1446-05-26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بن محصان العتيبي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1086082631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2608.70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عشرون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بن محصان العتيبي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