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pPr>
      <w:r>
        <w:rPr>
          <w:rFonts w:ascii="Times New Roman" w:cs="Times New Roman" w:eastAsia="Times New Roman" w:hAnsi="Times New Roman"/>
          <w:b w:val="1"/>
          <w:bCs w:val="1"/>
          <w:sz w:val="36"/>
          <w:szCs w:val="36"/>
          <w:rtl w:val="0"/>
        </w:rPr>
        <w:t xml:space="preserve">Reply to Reviewers Comments</w:t>
      </w:r>
      <w:r>
        <w:rPr>
          <w:rtl w:val="0"/>
        </w:rPr>
      </w:r>
    </w:p>
    <w:p w:rsidR="00000000" w:rsidDel="00000000" w:rsidP="00000000" w:rsidRDefault="00000000" w:rsidRPr="00000000" w14:paraId="00000002">
      <w:pPr>
        <w:spacing w:after="0" w:before="0" w:lineRule="auto"/>
        <w:rPr/>
      </w:pPr>
      <w:r>
        <w:rPr>
          <w:rtl w:val="0"/>
        </w:rPr>
      </w:r>
    </w:p>
    <w:p w:rsidR="00000000" w:rsidDel="00000000" w:rsidP="00000000" w:rsidRDefault="00000000" w:rsidRPr="00000000" w14:paraId="00000003">
      <w:pPr>
        <w:spacing w:after="0" w:lineRule="auto"/>
        <w:jc w:val="both"/>
        <w:rPr/>
      </w:pPr>
      <w:r>
        <w:rPr>
          <w:rFonts w:ascii="Times New Roman" w:cs="Times New Roman" w:eastAsia="Times New Roman" w:hAnsi="Times New Roman"/>
          <w:color w:val="222222"/>
          <w:sz w:val="24"/>
          <w:szCs w:val="24"/>
          <w:rtl w:val="0"/>
        </w:rPr>
        <w:t xml:space="preserve">Submission ID: [to be added]</w:t>
      </w:r>
      <w:r>
        <w:rPr>
          <w:rtl w:val="0"/>
        </w:rPr>
      </w:r>
    </w:p>
    <w:p w:rsidR="00000000" w:rsidDel="00000000" w:rsidP="00000000" w:rsidRDefault="00000000" w:rsidRPr="00000000" w14:paraId="00000004">
      <w:pPr>
        <w:spacing w:after="0" w:lineRule="auto"/>
        <w:jc w:val="both"/>
        <w:rPr/>
      </w:pPr>
      <w:r>
        <w:rPr>
          <w:rFonts w:ascii="Times New Roman" w:cs="Times New Roman" w:eastAsia="Times New Roman" w:hAnsi="Times New Roman"/>
          <w:color w:val="222222"/>
          <w:sz w:val="24"/>
          <w:szCs w:val="24"/>
          <w:rtl w:val="0"/>
        </w:rPr>
        <w:t xml:space="preserve">Title: An Edge-Centric Smart Metering System for Privacy-Preserving Energy Analytics and Non-Intrusive Load Monitoring</w:t>
      </w:r>
      <w:r>
        <w:rPr>
          <w:rtl w:val="0"/>
        </w:rPr>
      </w:r>
    </w:p>
    <w:p w:rsidR="00000000" w:rsidDel="00000000" w:rsidP="00000000" w:rsidRDefault="00000000" w:rsidRPr="00000000" w14:paraId="00000005">
      <w:pPr>
        <w:spacing w:after="0" w:before="0" w:lineRule="auto"/>
        <w:rPr/>
      </w:pPr>
      <w:r>
        <w:rPr>
          <w:rtl w:val="0"/>
        </w:rPr>
      </w:r>
    </w:p>
    <w:p w:rsidR="00000000" w:rsidDel="00000000" w:rsidP="00000000" w:rsidRDefault="00000000" w:rsidRPr="00000000" w14:paraId="00000006">
      <w:pPr>
        <w:spacing w:after="240" w:lineRule="auto"/>
        <w:jc w:val="both"/>
        <w:rPr/>
      </w:pPr>
      <w:r>
        <w:rPr>
          <w:rFonts w:ascii="Times New Roman" w:cs="Times New Roman" w:eastAsia="Times New Roman" w:hAnsi="Times New Roman"/>
          <w:b w:val="1"/>
          <w:bCs w:val="1"/>
          <w:sz w:val="24"/>
          <w:szCs w:val="24"/>
          <w:rtl w:val="0"/>
        </w:rPr>
        <w:t xml:space="preserve">Submitted to: Scientific Reports</w:t>
      </w:r>
      <w:r>
        <w:rPr>
          <w:rtl w:val="0"/>
        </w:rPr>
      </w:r>
    </w:p>
    <w:p w:rsidR="00000000" w:rsidDel="00000000" w:rsidP="00000000" w:rsidRDefault="00000000" w:rsidRPr="00000000" w14:paraId="00000007">
      <w:pPr>
        <w:spacing w:after="120" w:before="120" w:lineRule="auto"/>
        <w:jc w:val="both"/>
        <w:rPr/>
      </w:pPr>
      <w:r>
        <w:rPr>
          <w:rFonts w:ascii="Times New Roman" w:cs="Times New Roman" w:eastAsia="Times New Roman" w:hAnsi="Times New Roman"/>
          <w:color w:val="000000"/>
          <w:sz w:val="24"/>
          <w:szCs w:val="24"/>
          <w:rtl w:val="0"/>
        </w:rPr>
        <w:t xml:space="preserve">Dear Editor in Chief, Scientific Reports</w:t>
      </w:r>
      <w:r>
        <w:rPr>
          <w:rtl w:val="0"/>
        </w:rPr>
      </w:r>
    </w:p>
    <w:p w:rsidR="00000000" w:rsidDel="00000000" w:rsidP="00000000" w:rsidRDefault="00000000" w:rsidRPr="00000000" w14:paraId="00000008">
      <w:pPr>
        <w:spacing w:after="120" w:before="120" w:lineRule="auto"/>
        <w:jc w:val="both"/>
        <w:rPr>
          <w:sz w:val="24"/>
          <w:szCs w:val="24"/>
        </w:rPr>
      </w:pPr>
      <w:r>
        <w:rPr>
          <w:sz w:val="24"/>
          <w:szCs w:val="24"/>
          <w:rtl w:val="0"/>
        </w:rPr>
        <w:t xml:space="preserve">We sincerely thank the editor and reviewers for their careful evaluation of our manuscript. We appreciate the constructive comments, which helped us improve the methodological clarity, scope definition, statistical reporting, and presentation of the work.</w:t>
      </w:r>
    </w:p>
    <w:p w:rsidR="00000000" w:rsidDel="00000000" w:rsidP="00000000" w:rsidRDefault="00000000" w:rsidRPr="00000000" w14:paraId="00000009">
      <w:pPr>
        <w:spacing w:after="120" w:before="120" w:lineRule="auto"/>
        <w:jc w:val="both"/>
        <w:rPr>
          <w:sz w:val="24"/>
          <w:szCs w:val="24"/>
        </w:rPr>
      </w:pPr>
      <w:r>
        <w:rPr>
          <w:rtl w:val="0"/>
        </w:rPr>
      </w:r>
    </w:p>
    <w:p w:rsidR="00000000" w:rsidDel="00000000" w:rsidP="00000000" w:rsidRDefault="00000000" w:rsidRPr="00000000" w14:paraId="0000000A">
      <w:pPr>
        <w:spacing w:after="120" w:before="120" w:lineRule="auto"/>
        <w:jc w:val="both"/>
        <w:rPr>
          <w:sz w:val="24"/>
          <w:szCs w:val="24"/>
        </w:rPr>
      </w:pPr>
      <w:r>
        <w:rPr>
          <w:sz w:val="24"/>
          <w:szCs w:val="24"/>
          <w:rtl w:val="0"/>
        </w:rPr>
        <w:t xml:space="preserve">In preparing the revised manuscript, we did not only revise the wording. We also added new experiments, re-implemented and re-trained the baselines under an identical protocol, and rewrote the sections whose claims were not sufficiently supported. All changes are described below, together with the location of each change in the revised manuscript. To make the manuscript more concise we also moved detailed tables, figures and secondary descriptions to a new Supplementary Material (Tables and Figures S1–S23) and condensed the main text; the locations below refer to the main text unless a Supplementary Table or Figure is named.</w:t>
      </w:r>
    </w:p>
    <w:p w:rsidR="00000000" w:rsidDel="00000000" w:rsidP="00000000" w:rsidRDefault="00000000" w:rsidRPr="00000000" w14:paraId="0000000B">
      <w:pPr>
        <w:spacing w:after="120" w:before="120" w:lineRule="auto"/>
        <w:jc w:val="both"/>
        <w:rPr>
          <w:sz w:val="24"/>
          <w:szCs w:val="24"/>
        </w:rPr>
      </w:pPr>
      <w:r>
        <w:rPr>
          <w:rtl w:val="0"/>
        </w:rPr>
      </w:r>
    </w:p>
    <w:p w:rsidR="00000000" w:rsidDel="00000000" w:rsidP="00000000" w:rsidRDefault="00000000" w:rsidRPr="00000000" w14:paraId="0000000D">
      <w:pPr>
        <w:spacing w:after="120" w:before="120" w:lineRule="auto"/>
        <w:jc w:val="both"/>
        <w:rPr>
          <w:sz w:val="24"/>
          <w:szCs w:val="24"/>
        </w:rPr>
      </w:pPr>
      <w:r>
        <w:rPr>
          <w:rtl w:val="0"/>
        </w:rPr>
      </w:r>
    </w:p>
    <w:p w:rsidR="00000000" w:rsidDel="00000000" w:rsidP="00000000" w:rsidRDefault="00000000" w:rsidRPr="00000000" w14:paraId="0000000E">
      <w:pPr>
        <w:spacing w:after="120" w:before="120" w:lineRule="auto"/>
        <w:jc w:val="both"/>
        <w:rPr/>
      </w:pPr>
      <w:r>
        <w:rPr>
          <w:rFonts w:ascii="Times New Roman" w:cs="Times New Roman" w:eastAsia="Times New Roman" w:hAnsi="Times New Roman"/>
          <w:color w:val="000000"/>
          <w:sz w:val="24"/>
          <w:szCs w:val="24"/>
          <w:rtl w:val="0"/>
        </w:rPr>
        <w:t xml:space="preserve">Sincerely yours,</w:t>
      </w:r>
      <w:r>
        <w:rPr>
          <w:rtl w:val="0"/>
        </w:rPr>
      </w:r>
    </w:p>
    <w:p w:rsidR="00000000" w:rsidDel="00000000" w:rsidP="00000000" w:rsidRDefault="00000000" w:rsidRPr="00000000" w14:paraId="0000000F">
      <w:pPr>
        <w:spacing w:after="120" w:before="120" w:lineRule="auto"/>
        <w:jc w:val="both"/>
        <w:rPr/>
      </w:pPr>
      <w:r>
        <w:rPr>
          <w:rFonts w:ascii="Times New Roman" w:cs="Times New Roman" w:eastAsia="Times New Roman" w:hAnsi="Times New Roman"/>
          <w:color w:val="000000"/>
          <w:sz w:val="24"/>
          <w:szCs w:val="24"/>
          <w:rtl w:val="0"/>
        </w:rPr>
        <w:t xml:space="preserve">Noor El-Deen M. Mohamed</w:t>
      </w:r>
      <w:r>
        <w:rPr>
          <w:rtl w:val="0"/>
        </w:rPr>
      </w:r>
    </w:p>
    <w:p w:rsidR="00000000" w:rsidDel="00000000" w:rsidP="00000000" w:rsidRDefault="00000000" w:rsidRPr="00000000" w14:paraId="00000010">
      <w:pPr>
        <w:spacing w:after="240" w:before="360" w:lineRule="auto"/>
        <w:jc w:val="both"/>
        <w:rPr/>
      </w:pPr>
      <w:r>
        <w:rPr>
          <w:rFonts w:ascii="Times New Roman" w:cs="Times New Roman" w:eastAsia="Times New Roman" w:hAnsi="Times New Roman"/>
          <w:b w:val="1"/>
          <w:bCs w:val="1"/>
          <w:color w:val="0070c0"/>
          <w:sz w:val="28"/>
          <w:szCs w:val="28"/>
          <w:u w:val="single"/>
          <w:rtl w:val="0"/>
        </w:rPr>
        <w:t xml:space="preserve">Reviewer 1 (Comments and Responses)</w:t>
      </w:r>
      <w:r>
        <w:rPr>
          <w:rtl w:val="0"/>
        </w:rPr>
      </w:r>
    </w:p>
    <w:p w:rsidR="00000000" w:rsidDel="00000000" w:rsidP="00000000" w:rsidRDefault="00000000" w:rsidRPr="00000000" w14:paraId="00000011">
      <w:pPr>
        <w:spacing w:after="120" w:before="240" w:lineRule="auto"/>
        <w:jc w:val="both"/>
        <w:rPr>
          <w:sz w:val="22"/>
          <w:szCs w:val="22"/>
        </w:rPr>
      </w:pPr>
      <w:r>
        <w:rPr>
          <w:b w:val="1"/>
          <w:bCs w:val="1"/>
          <w:color w:val="0070c0"/>
          <w:sz w:val="26"/>
          <w:szCs w:val="26"/>
          <w:rtl w:val="0"/>
        </w:rPr>
        <w:t xml:space="preserve">Reviewer 1 comment: </w:t>
      </w:r>
      <w:r>
        <w:rPr>
          <w:rtl w:val="0"/>
        </w:rPr>
      </w:r>
    </w:p>
    <w:p w:rsidR="00000000" w:rsidDel="00000000" w:rsidP="00000000" w:rsidRDefault="00000000" w:rsidRPr="00000000" w14:paraId="00000012">
      <w:pPr>
        <w:spacing w:after="120" w:lineRule="auto"/>
        <w:jc w:val="both"/>
        <w:rPr>
          <w:sz w:val="24"/>
          <w:szCs w:val="24"/>
        </w:rPr>
      </w:pPr>
      <w:r>
        <w:rPr>
          <w:sz w:val="24"/>
          <w:szCs w:val="24"/>
          <w:rtl w:val="0"/>
        </w:rPr>
        <w:t xml:space="preserve">The manuscript entitled “An Edge-Centric Smart Metering System for Privacy-Preserving Energy Analytics and Non-Intrusive Load Monitoring” presents an edge-centric smart metering system, termed NGSM, that integrates embedded electrical metrology, Non-Intrusive Load Monitoring, harmonic analysis, cloud-based forecasting, and web/mobile user interfaces. The principal technical component is an Enhanced Dilated Temporal Convolutional Network deployed on an Allwinner F1C200s platform containing a single ARM926EJ-S core, 64 MB RAM, and no GPU or floating-point unit. The proposed EDTCN uses six exponentially dilated residual blocks, a 127-timestep receptive field, and a device-type-weighted focal loss. The authors additionally apply compiler-level optimization and INT8 quantization for embedded execution.</w:t>
      </w:r>
    </w:p>
    <w:p w:rsidR="00000000" w:rsidDel="00000000" w:rsidP="00000000" w:rsidRDefault="00000000" w:rsidRPr="00000000" w14:paraId="00000012">
      <w:pPr>
        <w:spacing w:after="120" w:lineRule="auto"/>
        <w:jc w:val="both"/>
        <w:rPr>
          <w:sz w:val="24"/>
          <w:szCs w:val="24"/>
        </w:rPr>
      </w:pPr>
      <w:r>
        <w:rPr>
          <w:sz w:val="24"/>
          <w:szCs w:val="24"/>
          <w:rtl w:val="0"/>
        </w:rPr>
        <w:t xml:space="preserve">The manuscript addresses an important and practically relevant problem. Deploying NILM directly on low-cost smart meters could reduce the transmission of high-resolution household consumption data and decrease dependence on expensive GPU-enabled platforms. The hardware development across three generations, the implementation on a highly resource-constrained processor, and the use of multiple public NILM datasets are positive aspects. The paper also reports detailed hardware measurements, including memory utilization, power consumption, and inference performance.</w:t>
      </w:r>
    </w:p>
    <w:p w:rsidR="00000000" w:rsidDel="00000000" w:rsidP="00000000" w:rsidRDefault="00000000" w:rsidRPr="00000000" w14:paraId="00000012">
      <w:pPr>
        <w:spacing w:after="120" w:lineRule="auto"/>
        <w:jc w:val="both"/>
        <w:rPr>
          <w:sz w:val="24"/>
          <w:szCs w:val="24"/>
        </w:rPr>
      </w:pPr>
      <w:r>
        <w:rPr>
          <w:sz w:val="24"/>
          <w:szCs w:val="24"/>
          <w:rtl w:val="0"/>
        </w:rPr>
        <w:t xml:space="preserve">Nevertheless, the present manuscript requires major revision. The paper attempts to cover an unusually broad range of components; metering hardware, embedded Linux, NILM, harmonic analysis, forecasting, cloud services, payment systems, mobile applications, security, privacy, and federated adaptation. As a result, several central scientific claims are not validated with sufficient rigor. In particular, the cross-dataset generalization protocol is unclear, the proposed loss and EDTCN contributions are not isolated adequately, embedded inference latency appears incompatible with some real-time claims, privacy is asserted mainly through local processing rather than formally evaluated, and the metrology and IEEE 519 compliance claims lack complete laboratory validation. Some reported numerical comparisons and cost statements are also internally inconsistent.</w:t>
      </w:r>
    </w:p>
    <w:p w:rsidR="00000000" w:rsidDel="00000000" w:rsidP="00000000" w:rsidRDefault="00000000" w:rsidRPr="00000000" w14:paraId="00000012">
      <w:pPr>
        <w:spacing w:after="120" w:lineRule="auto"/>
        <w:jc w:val="both"/>
        <w:rPr>
          <w:sz w:val="24"/>
          <w:szCs w:val="24"/>
        </w:rPr>
      </w:pPr>
      <w:r>
        <w:rPr>
          <w:sz w:val="24"/>
          <w:szCs w:val="24"/>
          <w:rtl w:val="0"/>
        </w:rPr>
        <w:t xml:space="preserve">The work has potential as a substantial engineering system paper, but stronger methodological isolation, reproducible validation, and more cautious interpretation are necessary.</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thank Reviewer 1 for this detailed and constructive assessment. We carefully reviewed each recommendation against the existing manuscript and then revised the NILM evaluation, claims, and supporting text accordingly. Each numbered comment is answered individually below, together with the corresponding changes in the revised manuscript.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w:t>
      </w:r>
      <w:r>
        <w:rPr>
          <w:sz w:val="24"/>
          <w:szCs w:val="24"/>
          <w:rtl w:val="0"/>
        </w:rPr>
        <w:t xml:space="preserve">: The manuscript covers too many areas and the central scientific claims are not validated with sufficient rigor.</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narrowed the NILM claims to what is validated: the protocol is documented in full, results are reported as mean +/- std over seeds with confidence intervals, an ablation isolates the architecture and loss contributions, baselines are re-implemented and trained under the identical protocol, and unseen-household, cross-dataset and adaptation experiments are added. Claims not supported by these experiments were removed (cross-dataset generalization, near-perfect state detection, literature-approximated baseline table). The harmonic and forecasting claims were narrowed in the same way: the harmonic measurement now follows IEC 61000-4-7 with synthetic verification, consistency checks and an uncertainty budget (Section 6.1 'Power Quality and Harmonic Analysis'; Supplementary Table S14 'THD estimator verification', Table S19 'Consistency checks of the prototype measurement' and Table S20 'THD uncertainty budget'), IEEE 519 is reported as a screening result rather than compliance, and forecasting is benchmarked against four baselines under a documented chronological protocol (Section 6.2 'Energy Demand Forecasting'). All parts have been revised (hardware, web and security text, reproducibility table, scope statement for the measurements that were not made).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Abstract; Section 1 (Introduction); Section 6.3 (NILM: subsections 6.3.2–6.3.13 on protocol, results, ablation, baselines, robustness and summary); Section 7 (Discussion, including 7.3 Limitations); Section 8 (Conclusion). Sections 6.1 (Power Quality and Harmonic Analysis) and 6.2 (Energy Demand Forecasting) were rewritten; web-technology and generic motivation text was condensed (Section 1 'Introduction' and Section 5 'Software Components'). Detailed tables and figures were moved to the Supplementary Material (Tables and Figures S1–S23).</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w:t>
      </w:r>
      <w:r>
        <w:rPr>
          <w:sz w:val="24"/>
          <w:szCs w:val="24"/>
          <w:rtl w:val="0"/>
        </w:rPr>
        <w:t xml:space="preserve">: The NILM evaluation protocol and the meaning of cross-dataset generalization are unclear.</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now give the complete experimental protocol in a dedicated table (Table 6 'Experimental protocol', Section 6.3.3 'Evaluation Datasets'): for every dataset the households, the training/validation/test split, the window counts (SustDataED2 1,416/303/304; REFIT 380,224/18,689/59,927; UK-DALE 11,610/2,488/2,488), the sampling interval (raw and used), the appliance set and the aggregate signal. We state explicitly that each dataset has its own independently trained model and that no cross-dataset training or fine-tuning is used in the main experiments.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6.3.3 (Evaluation Datasets): new Table 6 (Experimental protocol) and the paragraph 'Preprocessing'; Section 6.3.4 (Multi-Dataset Performance; renamed from 'Cross-Dataset Performance' to 'Multi-Dataset Performance'); Abstract, Section 1 (Introduction) and Table 1 (Qualitative comparison with related frameworks; Section 2.3 'Contribution and Positioning') wording revised.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w:t>
      </w:r>
      <w:r>
        <w:rPr>
          <w:sz w:val="24"/>
          <w:szCs w:val="24"/>
          <w:rtl w:val="0"/>
        </w:rPr>
        <w:t xml:space="preserve">: Evaluation on separately trained models across SustDataED2, REFIT, and UK-DALE is multi-dataset validation, not necessarily cross-dataset generalization.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agree. The three-dataset evaluation is now described as multi-dataset validation of one architecture and training recipe. Genuine cross-household and cross-dataset evaluations are reported separately in the new Section 6.3.10 ('Robustness to Unseen Households and Datasets').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6.3.4 (Multi-Dataset Performance), heading and text; Abstract; Section 1 (Introduction); Table 1 (Qualitative comparison with related frameworks) in Section 2.3 ('Multi-dataset validation; few-day EWC adaptation').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#1.4</w:t>
      </w:r>
      <w:r>
        <w:rPr>
          <w:sz w:val="24"/>
          <w:szCs w:val="24"/>
          <w:rtl w:val="0"/>
        </w:rPr>
        <w:t xml:space="preserve">: The paper should add REFIT-to-UK-DALE, UK-DALE-to-REFIT, leave-one-house-out, unseen-house, zero-shot, and limited-adaptation evaluations.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added (i) per-house results on the unseen REFIT houses 18-21 (Supplementary Table S8 'Per-house results', Section 6.3.10 'Robustness to Unseen Households and Datasets'), (ii) leave-one-house-out training on five REFIT houses (Supplementary Table S9 'Leave-one-house-out') (mean gap to a model that has seen the house: about +1.0 W MAE and -0.02 F1; the gap is an upper bound because the held-out models were trained for fewer epochs), and (iii) a trained REFIT&lt;-&gt;UK-DALE study on the five shared appliances (Supplementary Table S10 'Zero-shot transfer and adaptation') with zero-shot testing (F1 retained 86-88% of the in-domain F1) and adaptation with the first 1, 3 and 7 days of the target household, compared with training from scratch. Within-dataset unseen-house evaluation is impossible for SustDataED2 and UK-DALE (single household) and this is stated.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6.3.10 (Robustness to Unseen Households and Datasets): paragraphs 'Unseen households', 'Leave-one-house-out', 'Cross-dataset transfer and adaptation protocol' and 'Results'. The tables are in the Supplementary Material, subsection 'Additional NILM results': Table S8 (per-house results), Table S9 (leave-one-house-out) and Table S10 (zero-shot transfer and adaptation).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#1.5</w:t>
      </w:r>
      <w:r>
        <w:rPr>
          <w:sz w:val="24"/>
          <w:szCs w:val="24"/>
          <w:rtl w:val="0"/>
        </w:rPr>
        <w:t xml:space="preserve">: The methodological novelty of EDTCN and the device-type-weighted focal loss is not isolated.</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component contributions are isolated in a controlled ablation (Section 6.3.5 'Ablation Study', Table 9 'Ablation study' and Table 10 'Effect of the device-type-weighted focal loss by usage type'; 5 seeds, identical data and optimizer): architecture ladder (plain TCN, + residual, + exponential dilation with a 4-block and the 6-block receptive field) and loss ladder (MSE, MAE, MSE+MAE, standard focal, focal without type weights, type-weighted MSE, proposed loss). Dilation gives the main gain (MAE -11% on SustDataED2 and -12% on UK-DALE vs. the plain TCN); the proposed loss shifts the operating point toward higher recall at a small MAE cost. Quantization sensitivity is reported in Section 6.3.12 (Embedded Deployment Pipeline, Table 13 'FP32 versus true INT8').</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6.3.5 (Ablation Study): Table 9 (Ablation study) and Table 10 (Effect of the device-type-weighted focal loss by usage type); quantization sensitivity in Section 6.3.12 (Embedded Deployment Pipeline, Stage 3, Table 13 'FP32 versus true INT8').</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#1.6</w:t>
      </w:r>
      <w:r>
        <w:rPr>
          <w:sz w:val="24"/>
          <w:szCs w:val="24"/>
          <w:rtl w:val="0"/>
        </w:rPr>
        <w:t xml:space="preserve">: The mathematical formulation of the device-type-weighted focal loss is incomplete, including weight derivation, class weights, focusing parameter, normalization, and threshold selection.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loss is now stated explicitly (Section 6.3.2 'Training Strategy and Loss Functions', Equation 7): normalized error p = min(1, |y_hat - y| / max(|y|, 1 W)), L = mean over batch/time/appliances of w_type * p^gamma * (alpha*e^2 + (1-alpha)*e), with alpha = 0.7, gamma = 1.0, type weights A = B = 1.5 and C = 2.0 (fixed priors, not learned), the 1 W floor and the clipping that bound the factor, the normalization, and the role of the 15 W threshold (state metrics only, not in the loss). The previous equation omitted the floor and clipping.</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6.3.2 (Training Strategy and Loss Functions): paragraph 'Regression Model' and Equation 7, rewritten.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#1.7</w:t>
      </w:r>
      <w:r>
        <w:rPr>
          <w:sz w:val="24"/>
          <w:szCs w:val="24"/>
          <w:rtl w:val="0"/>
        </w:rPr>
        <w:t xml:space="preserve">: It is unclear how focal loss, conventionally used for classification, is combined with appliance power regression.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Clarified that the regression model has one output head per appliance and a pure regression objective; the 'focal' term is a bounded error-dependent modulation analogous to (1-p_t)^gamma in classification focal loss. State detection is obtained by thresholding the power estimate at 15 W. A separate classification network with weighted BCE is used only for the classification comparison.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 (Non-Intrusive Load Monitoring; introduction, paragraph 'Task Formulation') and Section 6.3.2 (Training Strategy and Loss Functions; paragraphs 'Regression Model' and 'Classification Model'), rewritten.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#1.8</w:t>
      </w:r>
      <w:r>
        <w:rPr>
          <w:sz w:val="24"/>
          <w:szCs w:val="24"/>
          <w:rtl w:val="0"/>
        </w:rPr>
        <w:t xml:space="preserve">: A component-level statistical comparison is needed to demonstrate that EDTCN is more than a standard dilated TCN with empirical weighting.</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provide mean +/- std over 5 seeds (3 for REFIT), block-bootstrap 95% intervals and paired block-bootstrap tests on identical test windows for every ablation variant (Section 6.3.5 'Ablation Study', Table 9 'Ablation study') and for the EDTCN versus the three baselines (Section 6.3.6 'Comparison with Baselines under an Identical Protocol', Table 11 'Comparison with baselines') (all EDTCN-vs-baseline MAE differences p &lt; 0.001). The comparison against the plain dilated-TCN-with-empirical-weighting question is answered by the loss ladder: the proposed weighting is not the source of the MAE gain, the dilated residual architecture is.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6.3.5 (Ablation Study; Table 9 'Ablation study' and Table 10 'Effect of the device-type-weighted focal loss by usage type'), Section 6.3.6 (Comparison with Baselines under an Identical Protocol, Table 11 'Comparison with baselines' with paired tests) and Section 6.3.4 (Multi-Dataset Performance; Table 8 'Overall performance', with seeds and intervals); statistical procedure in Section 6.3.2 (Training Strategy and Loss Functions; paragraph 'Controlled experiments and reproducibility').</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#1.9</w:t>
      </w:r>
      <w:r>
        <w:rPr>
          <w:sz w:val="24"/>
          <w:szCs w:val="24"/>
          <w:rtl w:val="0"/>
        </w:rPr>
        <w:t xml:space="preserve">: The real-time execution claim is unclear because inference takes approximately 111 seconds.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clarified what 'real-time' means for the NILM service: one inference processes a 512-step window (68.3 min of data at 8 s) in 101-123 s, i.e. 33-40 times faster than the data rate (Table 14 'Hardware inference', Section 6.3.12 'Embedded Deployment Pipeline'); with one inference per 15-minute reporting interval the result for an interval is available about 2 minutes after the interval ends. The text no longer presents this as sub-minute event detection. The previous throughput (7.9x) was computed from a 599-step window and has been corrected.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6.3.12 (Embedded Deployment Pipeline): Table 14 (hardware inference, corrected speed-up and CPU duty) and the paragraph 'Latency, duty cycle and energy'; Section 1 (Introduction; definition of real-time).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#1.10</w:t>
      </w:r>
      <w:r>
        <w:rPr>
          <w:sz w:val="24"/>
          <w:szCs w:val="24"/>
          <w:rtl w:val="0"/>
        </w:rPr>
        <w:t xml:space="preserve">: A 21-minute context window processed in 111 seconds may still introduce substantial output delay.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A latency budget is now given (Supplementary Table S13 'Latency budget', summarized in Section 6.3.12 'Embedded Deployment Pipeline': window buffering 68.3 min, inference 101-123 s, per-step 0.20-0.24 s, steady-state delay of an interval's result about 2 min). The network is almost causal (influence span t-4 ... t+256 steps measured by input perturbation), so each estimate depends on at most 32 s of future samples and an incremental implementation is architecturally possible; this is stated as not yet implemented.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6.3.12 (Embedded Deployment Pipeline), paragraph 'Latency, duty cycle and energy'; the latency-budget table is in the Supplementary Material, subsection 'Additional NILM results' (Table S13 'Latency budget').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#1.11</w:t>
      </w:r>
      <w:r>
        <w:rPr>
          <w:sz w:val="24"/>
          <w:szCs w:val="24"/>
          <w:rtl w:val="0"/>
        </w:rPr>
        <w:t xml:space="preserve">: CPU utilization approaches 100 percent, so concurrent metrology, FFT, display, tamper detection, communication, and storage must be evaluated.</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load on the single core is limited by scheduling: inference is a low-priority batch job that runs once per 15-min interval (101-123 s, an 11-14% duty cycle), while metrology, harmonic analysis, display, tamper detection and communication keep priority on the same core. The harmonic analysis runs on the meter; only the demand forecasts are produced by a scheduled cloud job and returned to each meter. The measurement of these tasks on the meter while an inference is running (including the CPU share of the harmonic analysis) is still to be added and is stated as a limitation. This measurement requires instrumentation that was not available for this study and is outside the scope of the present work; it is stated as not carried out in Section 7.3 (Limitations), no claim is made about it, and it is planned for the pilot deployments.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6.1 (Power Quality and Harmonic Analysis: the analysis runs on the meter); Section 6.2 (Energy Demand Forecasting: scheduled cloud forecasting job returning forecasts to each meter); Section 6.3.12 (Embedded Deployment Pipeline; paragraphs 'Latency, duty cycle and energy' and the scheduling paragraph that follows Table 15 'Energy and throughput metrics'); Section 7.3 (Limitations, paragraph 'Hardware and scope').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#1.12</w:t>
      </w:r>
      <w:r>
        <w:rPr>
          <w:sz w:val="24"/>
          <w:szCs w:val="24"/>
          <w:rtl w:val="0"/>
        </w:rPr>
        <w:t xml:space="preserve">: The Discussion should be more argumentative and explain why the tested results were achieved.</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added a Discussion subsection (Section 7.1 'Interpreting the NILM Results') that argues why the results are as observed: temporal context (receptive field 31 -&gt; 259 steps lowers MAE by 11-12%), residual connections needing dilation, the loss acting as an operating-point selector (MAE training underestimates energy; the weighted focal loss raises recall at a small MAE cost), and the dataset-dependent signal (closed-system aggregate on SustDataED2, unmetered load and overlapping signatures on REFIT/UK-DALE; states transfer better than amplitudes).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7.1 (Interpreting the NILM Results, new); the condensed cold-start and adaptation discussion is in Section 7.2 (Deployment Considerations) together with Section 6.3.10 (Robustness to Unseen Households and Datasets; Robustness).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#1.13</w:t>
      </w:r>
      <w:r>
        <w:rPr>
          <w:sz w:val="24"/>
          <w:szCs w:val="24"/>
          <w:rtl w:val="0"/>
        </w:rPr>
        <w:t xml:space="preserve">: The literature review should include recent work on intelligent energy management, optimization-assisted forecasting, nonlinear dynamics, hybrid deep learning, and AI-based estimation.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added the two forecasting studies suggested by the reviewer (hybrid LSTM models with signal decomposition and optimizer-based tuning for wind speed forecasting) to the related-work paragraph on energy demand forecasting, together with references for the Temporal Fusion Transformer and the gradient-boosted trees used in the revised forecasting benchmark. We also added the studies on time-delay control (Yanarates et al., 2023) and on fiscal decentralization and SDG 6 (Avci et al., 2026), so all four papers suggested by the reviewer are now cited.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2.2.2 (Related Work, Energy Demand Forecasting): paragraph with the added literature on hybrid deep learning, optimizer-assisted forecasting, nonlinear dynamics and AI-based estimation.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#1.14</w:t>
      </w:r>
      <w:r>
        <w:rPr>
          <w:sz w:val="24"/>
          <w:szCs w:val="24"/>
          <w:rtl w:val="0"/>
        </w:rPr>
        <w:t xml:space="preserve">: Active-power reduction is reported inconsistently as 71.59 percent and 92.6 percent.</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active-power reduction is now stated consistently with explicit baselines (Table 3 'Hardware specifications and performance', Section 4.4 'Performance Benchmarking and Optimization'): 71.6% relative to the second-generation Raspberry Pi Zero 2W (361.48 -&gt; 102.68 mA) and 85.3% relative to the first-generation Raspberry Pi 4 (3.48 W -&gt; 0.513 W). The earlier 92.6% figure was based on an incorrect 2.71 W value and has been removed.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4.4 (Performance Benchmarking and Optimization; Table 3 'Hardware specifications and performance', Hardware specifications and performance); Section 2.3 (Contribution and Positioning); Section 6.3.12 (Embedded Deployment Pipeline; paragraph 'Hardware Deployment Results').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#1.15</w:t>
      </w:r>
      <w:r>
        <w:rPr>
          <w:sz w:val="24"/>
          <w:szCs w:val="24"/>
          <w:rtl w:val="0"/>
        </w:rPr>
        <w:t xml:space="preserve">: Table 2 reports 695.68 mA at 5 V as 2.71 W, which is numerically inconsistent.</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Corrected (Table 3 'Hardware specifications and performance', Section 4.4 'Performance Benchmarking and Optimization'): 695.68 mA x 5 V = 3.48 W (not 2.71 W). All other current-to-power conversions were rechecked (361.48 mA -&gt; 1.81 W; 102.68 mA -&gt; 0.513 W).</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4.4 (Performance Benchmarking and Optimization), Table 3 (Hardware specifications and performance; Gen 1 active power).</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#1.16</w:t>
      </w:r>
      <w:r>
        <w:rPr>
          <w:sz w:val="24"/>
          <w:szCs w:val="24"/>
          <w:rtl w:val="0"/>
        </w:rPr>
        <w:t xml:space="preserve">: The abstract reports a 3–5 dollar cost while Table 2 reports a development-board price of approximately 16 dollars.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3-5 USD figure was removed from the abstract, introduction, benchmark-table note and deployment text because it covered only the SoC and ignored the other components. The paper now reports the complete bill of materials of the prototype (USD 117.95 at single-unit prices, Table 2 'Bill of materials', Section 4.3 'Third Generation') and states that the 19.60 USD MangoPi board is the retail price of the development board used for the benchmark.</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Abstract; Section 2.3 (Contribution and Positioning); Section 4.4 (Performance Benchmarking and Optimization; note of Table 3 'Hardware specifications and performance'); Section 6.3.12 (Embedded Deployment Pipeline; hardware deployment results); Section 4.3 (Third Generation), new Table 2 (Bill of materials).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#1.17</w:t>
      </w:r>
      <w:r>
        <w:rPr>
          <w:sz w:val="24"/>
          <w:szCs w:val="24"/>
          <w:rtl w:val="0"/>
        </w:rPr>
        <w:t xml:space="preserve">: A complete bill of materials should be provided for the deployable meter.</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A complete bill of materials is added (Table 2 'Bill of materials', Section 4.3 'Third Generation'; USD 117.95 for the prototype at single-unit prices): the MangoPi (F1C200S evaluation board, USD 19.60) and the STPM33 evaluation board (USD 74.80) are listed as evaluation boards, not as bare ICs; the PCB and enclosure prices are estimates and no volume pricing is assumed. The Gen 3 unit cost in the benchmark table (Table 3 'Hardware specifications and performance') was corrected to USD 19.60 (MangoPi).</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4.3 (Third Generation): Table 2 (Bill of materials) and its paragraph; Section 4.4 (Performance Benchmarking and Optimization), Table 3 (Hardware specifications and performance).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#1.18</w:t>
      </w:r>
      <w:r>
        <w:rPr>
          <w:sz w:val="24"/>
          <w:szCs w:val="24"/>
          <w:rtl w:val="0"/>
        </w:rPr>
        <w:t xml:space="preserve">: The paper should report total system power, including processor, STPM33, display, analog front end, storage, communication, and power-supply losses.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0.513 W figure is the power of the complete third-generation meter at its 5 V supply input during inference, with the TFT, the STPM33 and all other hardware connected. A per-component power budget and the power at the mains side of the AC/DC converter (including its efficiency) were not measured and are stated as not reported. We added a table of the operating states of the complete third-generation meter (Table 4 'Operating states of the third-generation meter', Section 4.4 'Performance Benchmarking and Optimization') at the 5 V input (idle 77-88 mA / 0.385-0.440 W; data loading 100-115 mA; inference peak 100-140 mA / 0.500-0.700 W, with CPU and memory use), consistent with the benchmark values. A breakdown by subsystem, the supply efficiency and the mains-side power were not measured and are stated as such. This measurement requires instrumentation that was not available for this study and is outside the scope of the present work; it is stated as not carried out in Section 7.3 (Limitations), no claim is made about it, and it is planned for the pilot deployments.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4.4 (Performance Benchmarking and Optimization): note of Table 3 (Hardware specifications and performance) and new Table 4 (operating states of the complete third-generation meter) with its explanatory paragraph; Section 4.3 (Third Generation), paragraph 'Prototype status and measurement conditions'.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#1.19</w:t>
      </w:r>
      <w:r>
        <w:rPr>
          <w:sz w:val="24"/>
          <w:szCs w:val="24"/>
          <w:rtl w:val="0"/>
        </w:rPr>
        <w:t xml:space="preserve">: The manuscript should state whether the 0.513 W figure includes the TFT display and metrology components.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0.513 W (102.68 mA at 5 V) measurement was made with the TFT display, the STPM33 and all other hardware of the meter connected (hardware engineer). The note of Table 3 (Hardware specifications and performance; Section 4.4 'Performance Benchmarking and Optimization') now states this.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4.4 (Performance Benchmarking and Optimization), note of Table 3 (Hardware specifications and performance).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#1.20</w:t>
      </w:r>
      <w:r>
        <w:rPr>
          <w:sz w:val="24"/>
          <w:szCs w:val="24"/>
          <w:rtl w:val="0"/>
        </w:rPr>
        <w:t xml:space="preserve">: The phrase without FPU support should clarify whether software-emulated floating-point preprocessing occurs before INT8 inference.</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Clarified (Section 6.3.12 'Embedded Deployment Pipeline', Stage 4): the convolutions run in INT8 integer arithmetic; the residual floating-point operations (input scaling, quantization scales, output de-quantization and thresholding) are executed by soft-float routines (-mfloat-abi=soft); they touch only 512 inputs and 512 x A outputs per window versus 3.8e8 multiply-accumulates in the network. Note: the INT8 models were rebuilt as true INT8 (the earlier files stored FP16 weights). A soft-float ARM926EJ-S build (no NEON) of the rebuilt INT8 models (Section 6.3.12 'Embedded Deployment Pipeline', Stage 4; Supplementary Table S12 'ARM build agreement') contains no hardware floating-point instructions and reproduces the PC outputs (mean difference below 5e-4, ON/OFF decisions identical in at least 99.996% of samples).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6.3.12 (Embedded Deployment Pipeline): text of Stage 2, Stage 3 and Stage 4; the agreement of the soft-float ARM build is summarized in Stage 4 and given in the Supplementary Material, subsection 'Additional NILM results' (Table S12 'ARM build agreement').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#1.21</w:t>
      </w:r>
      <w:r>
        <w:rPr>
          <w:sz w:val="24"/>
          <w:szCs w:val="24"/>
          <w:rtl w:val="0"/>
        </w:rPr>
        <w:t xml:space="preserve">: The EDTCN architecture should be presented in a complete layer-by-layer table.</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A complete layer-by-layer table is added (Supplementary Table S2 'Layer-by-layer description of the EDTCN', referenced in Section 6.3.1 'Enhanced EDTCN architecture'; input size, channels, kernel, dilation, residual connections, activations, parameters and MACs per block; output dimensions).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Supplementary Material, subsection 'Additional NILM results': Table S2 (Layer-by-layer description of the EDTCN); Section 6.3.1 (Enhanced EDTCN architecture) with the redrawn architecture figure (Figure 6 'EDTCN architecture').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#1.22</w:t>
      </w:r>
      <w:r>
        <w:rPr>
          <w:sz w:val="24"/>
          <w:szCs w:val="24"/>
          <w:rtl w:val="0"/>
        </w:rPr>
        <w:t xml:space="preserve">: The receptive-field calculation resulting in 127 timesteps should be derived explicitly.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receptive field is derived explicitly: R = 1 + (k_in - 1) + 2(K - 1) * sum(d_i) = 1 + 6 + 2*2*63 = 259 steps (kernel size K = 3 in the trained models), with a block-by-block table (Supplementary Table S1 'Receptive-field derivation'; derivation in Section 6.3.1 'Enhanced EDTCN architecture', Equation 6). An input-perturbation test on the deployed model confirms the influence span. The previous value of 127 steps (and K = 5) did not correspond to the trained checkpoints.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 (Enhanced EDTCN architecture): Equation 6 and Figure 6 (EDTCN architecture); the block-by-block derivation is in the Supplementary Material, subsection 'Additional NILM results' (Table S1 'Receptive-field derivation').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#1.23</w:t>
      </w:r>
      <w:r>
        <w:rPr>
          <w:sz w:val="24"/>
          <w:szCs w:val="24"/>
          <w:rtl w:val="0"/>
        </w:rPr>
        <w:t xml:space="preserve">: The mapping of 127 timesteps to 21 minutes depends on a 10-second sampling interval and must be stated clearly.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Stated explicitly (Section 6.3.1 'Enhanced EDTCN architecture'): all datasets are resampled to 8 s, so the 259-step receptive field spans 34.5 minutes and the 512-step window 68.3 minutes; for other sampling intervals the span scales linearly (4.3 min at 1 s, 25.9 min at 6 s, 43.2 min at 10 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 (Enhanced EDTCN architecture, paragraph after the receptive-field equation); Abstract.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#1.24</w:t>
      </w:r>
      <w:r>
        <w:rPr>
          <w:sz w:val="24"/>
          <w:szCs w:val="24"/>
          <w:rtl w:val="0"/>
        </w:rPr>
        <w:t xml:space="preserve">: Dataset preprocessing needs details on missing values, resampling, normalization, synchronization, thresholds, activation filtering, periods, and voltage systems.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Preprocessing is documented (Section 6.3.3 'Evaluation Datasets', paragraph 'Preprocessing'): resampling by averaging to an 8 s grid, forward-fill of gaps up to 7 samples, treatment of remaining gaps, timestamp synchronization of the SustDataED2 sensors, windowing (512 steps; stride 512, REFIT 256) and window-rejection rules, normalization with training statistics, ON/OFF threshold and absence of activation filtering, chronological/household splits, and handling of voltage (active power only). We also disclose that the SustDataED2 aggregate is the sum of the metered appliance channels.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6.3.3 (Evaluation Datasets): paragraphs 'Preprocessing', 'SustDataED2', 'REFIT' and 'UK-DALE'; Section 6.3.11 (SustDataED2 Dataset Preprocessing Challenge).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#1.25</w:t>
      </w:r>
      <w:r>
        <w:rPr>
          <w:sz w:val="24"/>
          <w:szCs w:val="24"/>
          <w:rtl w:val="0"/>
        </w:rPr>
        <w:t xml:space="preserve">: Evaluation should include normalized disaggregation error and signal aggregate error in addition to MAE and F1.</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SAE and NDE (and energy accuracy, RMSE, precision, recall) are reported for every dataset (Table 8 'Overall performance', Section 6.3.4 'Multi-Dataset Performance') and every appliance (Supplementary Table S3 'Per-appliance results, SustDataED2', Table S4 'Per-appliance results, REFIT' and Table S5 'Per-appliance results, UK-DALE'), in addition to MAE and F1.</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6.3.4 (Multi-Dataset Performance): metric definitions and Table 8 (Overall performance); per-appliance SAE and NDE in the Supplementary Material, subsection 'Additional NILM results' (Table S3 'Per-appliance results, SustDataED2', Table S4 'Per-appliance results, REFIT' and Table S5 'Per-appliance results, UK-DALE').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#1.26</w:t>
      </w:r>
      <w:r>
        <w:rPr>
          <w:sz w:val="24"/>
          <w:szCs w:val="24"/>
          <w:rtl w:val="0"/>
        </w:rPr>
        <w:t xml:space="preserve">: Results should be reported separately for each appliance rather than relying mainly on dataset-level averages.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Complete per-appliance tables (MAE, SAE, NDE, F1, precision, recall, ON time, device type) are given for all appliances of all three datasets (Supplementary Table S3 'Per-appliance results, SustDataED2', Table S4 'Per-appliance results, REFIT' and Table S5 'Per-appliance results, UK-DALE'); the SustDataED2 table was regenerated from the stored per-appliance metrics (the earlier table contained an incorrect TV-Samsung entry).</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6.3.4 (Multi-Dataset Performance), paragraph 'Per-appliance results' (key results). The full tables are in the Supplementary Material, subsection 'Additional NILM results': Table S3 (Per-appliance results, SustDataED2; SustDataED2), Table S4 (Per-appliance results, REFIT; REFIT), Table S5 (Per-appliance results, UK-DALE; UK-DALE) and Figure S15 (SustDataED2 per-appliance MAE).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#1.27</w:t>
      </w:r>
      <w:r>
        <w:rPr>
          <w:sz w:val="24"/>
          <w:szCs w:val="24"/>
          <w:rtl w:val="0"/>
        </w:rPr>
        <w:t xml:space="preserve">: The relatively low REFIT and UK-DALE F1 scores should be discussed critically.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F1 scores are discussed critically (Section 6.3.4 'Multi-Dataset Performance', paragraph 'Per-appliance results'): pooled and macro F1 are both reported (SustDataED2 pooled 0.824 vs macro 0.29), no appliance on REFIT or UK-DALE reaches F1 0.8, and the hard cases (low-power, rarely active, overlapping appliances) are identified.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6.3.4 (Multi-Dataset Performance), paragraph 'Per-appliance results' (with Table S3 'Per-appliance results, SustDataED2', Table S4 'Per-appliance results, REFIT' and Table S5 'Per-appliance results, UK-DALE' in the Supplementary Material, subsection 'Additional NILM results').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#1.28</w:t>
      </w:r>
      <w:r>
        <w:rPr>
          <w:sz w:val="24"/>
          <w:szCs w:val="24"/>
          <w:rtl w:val="0"/>
        </w:rPr>
        <w:t xml:space="preserve">: The claim of near-perfect state detection should be removed unless it applies to all relevant appliances.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'near-perfect state detection' wording has been removed everywhere (results, Section 6.3.4 'Multi-Dataset Performance'; summary, Section 6.3.13 'Summary and Key Findings'; conclusion, Section 8 'Conclusion'); results are described with pooled and macro-averaged F1 and per-appliance values.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6.3.4 (Multi-Dataset Performance; results text); Section 6.3.13 (Summary and Key Findings); Section 8 (Conclusion).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#1.29</w:t>
      </w:r>
      <w:r>
        <w:rPr>
          <w:sz w:val="24"/>
          <w:szCs w:val="24"/>
          <w:rtl w:val="0"/>
        </w:rPr>
        <w:t xml:space="preserve">: The 30.6 percent precision problem needs its exact experimental setting and appliance distribution explained.</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30.6% precision (Section 6.3.8 'The False Positive Problem in Regression-Based NILM') is the pooled precision of the unthresholded REFIT regression output at the 15 W state threshold over all nine appliances and all 59,927 test windows; the per-appliance breakdown (e.g. microwave 5.8%, computer 6.7%, washing machine 12.8%) and the cause (5-15 W 'ghost' outputs during OFF periods) are now given.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6.3.8 (The False Positive Problem in Regression-Based NILM).</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#1.30</w:t>
      </w:r>
      <w:r>
        <w:rPr>
          <w:sz w:val="24"/>
          <w:szCs w:val="24"/>
          <w:rtl w:val="0"/>
        </w:rPr>
        <w:t xml:space="preserve">: The cloud LSTM forecasting module is weakly connected to the edge-NILM contribution.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tied the forecasting module to the meter and documented it fully. It now forecasts the 15-min interval values that the meter already reports for billing and NILM, so it needs no additional data from the meter (768 bytes per day). The section (Section 6.2 'Energy Demand Forecasting') states the data split (Supplementary Table S15 'Forecasting data splits'; chronological whole years: train Apr 2013-Mar 2015, validation Apr 2015-Mar 2016, test Apr 2016-Mar 2017), the horizons (15 min to 24 h; 15 min, 1 h, 4 h and 24 h reported), four baselines (persistence, seasonal naive of 1 day and 1 week, ARIMA(1,1,0)) and three learned models (gradient-boosted trees, the LSTM and a Temporal Fusion Transformer, 5 seeds each), and the computational role (Supplementary Table S22 'Forecasting computational cost'): training in the cloud and a forecasting job scheduled every 15 min on cloud CPUs that returns the forecasts to each meter, with single-thread inference of 2-74 ms per forecast, i.e. 12,000-430,000 meters per CPU core. Based on the results (Table 5 'Forecast accuracy'), NGSM uses the gradient-boosted trees for forecasts up to 1 h and the TFT for day-ahead forecasts.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6.2 (Energy Demand Forecasting), rewritten: dataset and protocol, models, evaluation, performance (Table 5 'Forecast accuracy'), computational role and operation during cloud outages. Supplementary Material: subsection 'Harmonic verification and forecasting benchmark' (Table S15 'Forecasting data splits'; Figure S18 'Forecast MAE versus horizon'), subsection 'Forecast outage analysis and failure modes' (Table S16 'Forecast MAE during cloud outages' and Figure S19 'Forecast MAE versus outage time'), subsection 'Forecasting models: configuration' (Table S21 'Forecasting model configuration') and subsection 'Forecasting models: computational cost' (Table S22 'Forecasting computational cost').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#1.31</w:t>
      </w:r>
      <w:r>
        <w:rPr>
          <w:sz w:val="24"/>
          <w:szCs w:val="24"/>
          <w:rtl w:val="0"/>
        </w:rPr>
        <w:t xml:space="preserve">: A forecasting MAE of 12.70 W cannot be interpreted without scale, horizon, and baseline performance.</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12.70 W figure came from a benchmark at 1-s resolution obtained by resampling the native 6-s UK-DALE data; 85% of its points were interpolated, so a one-second persistence forecast already reached 4.3 W and the figure was not informative. We replaced it with a benchmark at the meter's 15-min interval and now report scale, horizon and baselines (Section 6.2 'Energy Demand Forecasting', Table 5 'Forecast accuracy'). On the test year (mean load 396 W), the best models reach 121.1 +/- 0.4 W MAE at 15 min (gradient-boosted trees, nMAE 30.5%), 153.8 +/- 0.8 W at 1 h (gradient-boosted trees), 161.2 +/- 3.5 W at 4 h and 164.1 +/- 3.0 W at 24 h (TFT), which is 7-26% below the strongest baseline at each horizon; differences are tested with Diebold-Mariano tests.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6.2 (Energy Demand Forecasting): the 12.70 W result and the 1-s benchmark were removed; Table 5 (Forecast accuracy; MAE, RMSE, nMAE and skill for all models at four horizons); Figure S18 (Forecast MAE versus horizon; Supplementary Material, subsection 'Harmonic verification and forecasting benchmark').</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#1.32</w:t>
      </w:r>
      <w:r>
        <w:rPr>
          <w:sz w:val="24"/>
          <w:szCs w:val="24"/>
          <w:rtl w:val="0"/>
        </w:rPr>
        <w:t xml:space="preserve">: Cold-start adaptation and EWC are discussed, but the actual adaptation protocol is not fully described.</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adaptation protocol is fully described (Section 6.3.10 'Robustness to Unseen Households and Datasets', paragraph 'Cross-dataset transfer and adaptation protocol'; results in Supplementary Table S10 'Zero-shot transfer and adaptation'): pretrained source model on the five shared appliances; which parameters are updated (output heads only, or all parameters, learning rates 3e-4 and 1e-4); amount of target data (first 1/3/7 days = 21/63/148 windows); chronological adaptation/validation/evaluation blocks and an exact-duplicate check (no overlap in any of the 24 configurations); EWC with a diagonal Fisher estimate on 640 source windows and a validation-selected penalty; 40 epochs, best validation checkpoint; adaptation is computed off-device (PC/cloud) and only the exported INT8 model is installed on the F1C200s.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6.3.10 (Robustness to Unseen Households and Datasets; Robustness), paragraph 'Cross-dataset transfer and adaptation protocol'; results in the Supplementary Material, subsection 'Additional NILM results' (Table S10 'Zero-shot transfer and adaptation').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#1.33</w:t>
      </w:r>
      <w:r>
        <w:rPr>
          <w:sz w:val="24"/>
          <w:szCs w:val="24"/>
          <w:rtl w:val="0"/>
        </w:rPr>
        <w:t xml:space="preserve">: The dishwasher MAE reduction from over 100 W to approximately 1 W after adaptation is unusually large and requires validation against leakage or overfitting.</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statement that the dishwasher MAE drops from over 100 W to about 1 W could not be reproduced in leakage-safe experiments and has been removed. The measured result is reported instead (Section 6.3.10 'Robustness to Unseen Households and Datasets', paragraph 'Results'; Supplementary Table S10 'Zero-shot transfer and adaptation'): the UK-DALE dishwasher has a zero-shot MAE of 18.1 W and 18.5-24.0 W after adaptation, i.e. rarely used appliances are not improved by a week of data. No overlap between adaptation, validation and evaluation windows was found.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6.3.10 (Robustness to Unseen Households and Datasets; Robustness), paragraph 'Results' and the following paragraph on forgetting and the dishwasher; Table S10 (Zero-shot transfer and adaptation; Supplementary Material, subsection 'Additional NILM results'); the old claim was deleted from Section 7 (Discussion).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#1.34</w:t>
      </w:r>
      <w:r>
        <w:rPr>
          <w:sz w:val="24"/>
          <w:szCs w:val="24"/>
          <w:rtl w:val="0"/>
        </w:rPr>
        <w:t xml:space="preserve">: Hardware comparison should use equivalent workloads and identical peripherals.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platform comparison (Table 3 'Hardware specifications and performance', Section 4.4 'Performance Benchmarking and Optimization') is now explicitly described as a comparison of board-level power under comparable benchmarking workloads, not of energy per inference; CPU/memory rows are labeled as benchmark workload values. This measurement requires instrumentation that was not available for this study and is outside the scope of the present work; it is stated as not carried out in Section 7.3 (Limitations), no claim is made about it, and it is planned for the pilot deployments.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4.4 (Performance Benchmarking and Optimization), notes of Table 3 (Hardware specifications and performance).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#1.35</w:t>
      </w:r>
      <w:r>
        <w:rPr>
          <w:sz w:val="24"/>
          <w:szCs w:val="24"/>
          <w:rtl w:val="0"/>
        </w:rPr>
        <w:t xml:space="preserve">: Power measurement methodology should specify instrument, sampling interval, averaging period, uncertainty, voltage stability, and peripheral activity.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method is stated (Section 4.3 'Third Generation', paragraph 'Prototype status and measurement conditions'): voltage and current were read at the 5 V supply input of each generation with a UNI-T UT61A digital multimeter, with all hardware connected in the third generation; no data logger was used, so no sampling interval or averaging period applies, and the values carry the accuracy of the instrument.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4.3 (Third Generation), paragraph 'Prototype status and measurement conditions'.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#1.36</w:t>
      </w:r>
      <w:r>
        <w:rPr>
          <w:sz w:val="24"/>
          <w:szCs w:val="24"/>
          <w:rtl w:val="0"/>
        </w:rPr>
        <w:t xml:space="preserve">: Thermal measurements should be included during sustained inference.</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Formal thermal measurements during sustained inference were not carried out because the hardware is an early-stage proof of concept; this is stated in the paper and in the limitations, and environmental and thermal stress tests are planned for later phases. This measurement requires instrumentation that was not available for this study and is outside the scope of the present work; it is stated as not carried out in Section 7.3 (Limitations), no claim is made about it, and it is planned for the pilot deployments.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4.3 (Third Generation), paragraph 'Prototype status and measurement conditions'; Section 7.3 (Limitations, paragraph 'Hardware and scope').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#1.37</w:t>
      </w:r>
      <w:r>
        <w:rPr>
          <w:sz w:val="24"/>
          <w:szCs w:val="24"/>
          <w:rtl w:val="0"/>
        </w:rPr>
        <w:t xml:space="preserve">: Long-duration stability should be evaluated for memory leakage, thermal throttling, filesystem reliability, and inference drift.</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system was tested for more than 24 hours with all functionalities running; upload of readings to the head-end system was enabled while the receiving server was inactive during the test. Inter-process communication was migrated from file-based exchange to message queues and shared memory. Quantitative logs of memory use and inference time over the run are not available and are stated as not reported. This measurement requires instrumentation that was not available for this study and is outside the scope of the present work; it is stated as not carried out in Section 7.3 (Limitations), no claim is made about it, and it is planned for the pilot deployments.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4.3 (Third Generation), paragraph 'Prototype status and measurement conditions'; Section 7.3 (Limitations, paragraph 'Hardware and scope').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#1.38</w:t>
      </w:r>
      <w:r>
        <w:rPr>
          <w:sz w:val="24"/>
          <w:szCs w:val="24"/>
          <w:rtl w:val="0"/>
        </w:rPr>
        <w:t xml:space="preserve">: The custom PCB should be shown clearly and distinguished from the MangoPi development board.</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custom PCB is shown (schematic and 3D model; Supplementary Figure S7 'Third-generation PCB schematic' and Figure S8 'Third-generation PCB 3D model', Section 4.3 'Third Generation'). Power and latency were measured on all three generations; for the third generation they were measured on the custom PCB with the MangoPi board soldered onto it, not on the MangoPi alone. The text also explains the single-SPI-bus limitation: the TFT display runs on a software SPI.</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4.3 (Third Generation): text and Figure 3 (Third-generation block diagram; block diagram); the PCB schematic and the 3D model are in the Supplementary Material, subsection 'Additional hardware figures' (Figure S7 'Third-generation PCB schematic' and Figure S8 'Third-generation PCB 3D model').</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#1.39</w:t>
      </w:r>
      <w:r>
        <w:rPr>
          <w:sz w:val="24"/>
          <w:szCs w:val="24"/>
          <w:rtl w:val="0"/>
        </w:rPr>
        <w:t xml:space="preserve">: Electrical safety, isolation distance, creepage, clearance, surge protection, and relevant smart-meter standards should be discussed before claiming industrial viability.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paper now states (Section 4.3 'Third Generation', paragraph 'Prototype status and measurement conditions'; Section 7.3 'Limitations') that the hardware is an uncertified proof-of-concept prototype; creepage/clearance distances, surge protection (IEC 61000-4-5) and certification under IEC 62052-11 and IEC 62053-21 have not been addressed and are future work. Claims of industrial viability and of 'isolated planes' were removed or softened.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4.3 (Third Generation; title, text and paragraph 'Prototype status and measurement conditions'); Section 7.3 (Limitations); Table 1 (Qualitative comparison with related frameworks; Section 2.3 'Contribution and Positioning').</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#1.40</w:t>
      </w:r>
      <w:r>
        <w:rPr>
          <w:sz w:val="24"/>
          <w:szCs w:val="24"/>
          <w:rtl w:val="0"/>
        </w:rPr>
        <w:t xml:space="preserve">: Client-side JWT routing alone does not prevent unauthorized backend access.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paper now states (Section 5.2 'Client-Side Web Application'; details in the Supplementary Material, subsection 'Privacy and security details') that the client-side JWT check only controls the interface and that authorization is enforced on the server: every endpoint validates JWT signature and expiry, ownership checks restrict users to their own meter and billing data, administrative routes are role-restricted, access tokens are short-lived, refresh tokens are rotated and revocable, browser tokens are in secure HTTP-only cookies, the mobile app uses platform secure storage, and all traffic uses TLS.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5.2 (Client-Side Web Application, navigation paragraph); the server-side authorization details are in the Supplementary Material, subsection 'Privacy and security details' (paragraph 'Web and mobile security').</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#1.41</w:t>
      </w:r>
      <w:r>
        <w:rPr>
          <w:sz w:val="24"/>
          <w:szCs w:val="24"/>
          <w:rtl w:val="0"/>
        </w:rPr>
        <w:t xml:space="preserve">: Stripe integration alone does not establish PCI-DSS compliance.</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claim of strict PCI-DSS compliance was removed. The paper states (Section 5.2 'Client-Side Web Application'; Supplementary Material, subsection 'Privacy and security details') that card details are processed by Stripe and not stored on the platform servers, which reduces the platform's PCI-DSS scope but does not by itself establish independent compliance or certification.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5.2 (Client-Side Web Application, Payment and Billing paragraph); the PCI-DSS statement is in the Supplementary Material, subsection 'Privacy and security details' (paragraph 'Web and mobile security').</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#1.42</w:t>
      </w:r>
      <w:r>
        <w:rPr>
          <w:sz w:val="24"/>
          <w:szCs w:val="24"/>
          <w:rtl w:val="0"/>
        </w:rPr>
        <w:t xml:space="preserve">: The paper should include failure-mode analysis for connectivity, reboot, model corruption, SPI failure, NAND corruption, power outage, and incorrect predictions.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A failure-mode table (failure / effect / detection / recovery / status; Supplementary Table S17 'Failure modes', summary in Section 7.2 'Deployment Considerations') is added covering power outage and reboot, NAND/storage corruption, SPI failure, model or binary corruption, connectivity loss, backend outage and incorrect predictions, separating implemented mechanisms from planned ones (watchdog, automated rollback and a validated recovery framework are not yet implemented).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Supplementary Material, subsection 'Forecast outage analysis and failure modes' (Table S17 'Failure modes'); summary in Section 7.2 (Deployment Considerations, paragraph 'Privacy and failure handling').</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#1.43</w:t>
      </w:r>
      <w:r>
        <w:rPr>
          <w:sz w:val="24"/>
          <w:szCs w:val="24"/>
          <w:rtl w:val="0"/>
        </w:rPr>
        <w:t xml:space="preserve">: Source code, trained models, firmware, quantization scripts, hardware files, and exact dataset splits should be available in a persistent repository.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revised the availability statement (section 'Data Availability', paragraph 'Code and Data Availability'). The source code and supporting artifacts of the NGSM system, including trained models, firmware, quantization scripts and hardware design files, are available from the authors upon reasonable request, subject to applicable project and institutional restrictions; dataset partition details and experimental configurations can also be provided upon request. The public datasets used are cited with their access links.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'Data Availability' (paragraph 'Code and Data Availability').</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#1.44</w:t>
      </w:r>
      <w:r>
        <w:rPr>
          <w:sz w:val="24"/>
          <w:szCs w:val="24"/>
          <w:rtl w:val="0"/>
        </w:rPr>
        <w:t xml:space="preserve">: Several figures contain text that is too small and should be redrawn with consistent notation.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NILM figures were redrawn with consistent notation and font sizes (Figure 6 'EDTCN architecture', Figure 7 'Cross-dataset comparison' and Figure 8 'Baseline MAE comparison' in the main text, Supplementary Figure S15 'SustDataED2 per-appliance MAE' and Figure S16 'Training speed-up': architecture diagram with correct numbers, overall performance, per-appliance results, baseline comparison, training speed-up). The third-generation block diagram (Figure 3 'Third-generation block diagram', Section 4.3 'Third Generation') was redrawn with larger text and now shows the software SPI of the display (the earlier version still showed the demultiplexer). The power-quality, forecasting, system-architecture and firmware figures were checked and have legible text; hardware photographs are unchanged.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Main text: Figure 6 (EDTCN architecture; dtcn_architecture_enhanced), Figure 7 (Cross-dataset comparison; cross_dataset_comparison), Figure 8 (Baseline MAE comparison; baseline_mae_comparison) and Figure 3 (Third-generation block diagram; img11, third-generation block diagram). Supplementary Material, subsection 'Additional NILM results': Figure S15 (SustDataED2 per-appliance MAE; SustDataED2_per_appliance_mae) and Figure S16 (Training speed-up; training_speedup).</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#1.45</w:t>
      </w:r>
      <w:r>
        <w:rPr>
          <w:sz w:val="24"/>
          <w:szCs w:val="24"/>
          <w:rtl w:val="0"/>
        </w:rPr>
        <w:t xml:space="preserve">: The manuscript is excessively long and repetitive, especially in generic web-technology and smart-grid motivation sections.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introduction and the web/mobile software descriptions were condensed; generic technology justifications were removed. Redundant NILM text (training-efficiency details, SustDataED2 preprocessing, classification-evolution iterations) was shortened. The main text was condensed further and now has about 11700 words (excluding tables, figures and references; 29 pages including references and declarations), with detailed tables and figures moved to a 17-page Supplementary Material: hardware generations 1-3, the embedded deployment stages, the robustness/transfer protocol, the multi-dataset discussion, lifecycle/privacy (merged into one subsection with a compact threat table) and failure-mode prose, the deployment/latency/energy discussion, the power-quality method, the loss and ablation text, the discussion and the limitations were condensed, and detail that was not needed was deleted.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1 (Introduction); Section 5 (Software Components, subsections 5.1–5.3); Section 6.3 (NILM subsections); Section 7 (Discussion and Limitations); new Supplementary Material (Tables and Figures S1–S23).</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0">
      <w:pPr>
        <w:spacing w:after="240" w:before="360" w:lineRule="auto"/>
        <w:jc w:val="both"/>
        <w:rPr/>
      </w:pPr>
      <w:r>
        <w:rPr>
          <w:rFonts w:ascii="Times New Roman" w:cs="Times New Roman" w:eastAsia="Times New Roman" w:hAnsi="Times New Roman"/>
          <w:b w:val="1"/>
          <w:bCs w:val="1"/>
          <w:color w:val="0070c0"/>
          <w:sz w:val="28"/>
          <w:szCs w:val="28"/>
          <w:u w:val="single"/>
          <w:rtl w:val="0"/>
        </w:rPr>
        <w:t xml:space="preserve">Reviewer 2 (Comments and Responses)</w:t>
      </w:r>
      <w:r>
        <w:rPr>
          <w:rtl w:val="0"/>
        </w:rPr>
      </w:r>
    </w:p>
    <w:p w:rsidR="00000000" w:rsidDel="00000000" w:rsidP="00000000" w:rsidRDefault="00000000" w:rsidRPr="00000000" w14:paraId="00000011">
      <w:pPr>
        <w:spacing w:after="120" w:before="240" w:lineRule="auto"/>
        <w:jc w:val="both"/>
        <w:rPr>
          <w:sz w:val="22"/>
          <w:szCs w:val="22"/>
        </w:rPr>
      </w:pPr>
      <w:r>
        <w:rPr>
          <w:b w:val="1"/>
          <w:bCs w:val="1"/>
          <w:color w:val="0070c0"/>
          <w:sz w:val="26"/>
          <w:szCs w:val="26"/>
          <w:rtl w:val="0"/>
        </w:rPr>
        <w:t xml:space="preserve">Reviewer 2 comment: </w:t>
      </w:r>
      <w:r>
        <w:rPr>
          <w:rtl w:val="0"/>
        </w:rPr>
      </w:r>
    </w:p>
    <w:p w:rsidR="00000000" w:rsidDel="00000000" w:rsidP="00000000" w:rsidRDefault="00000000" w:rsidRPr="00000000" w14:paraId="00000012">
      <w:pPr>
        <w:spacing w:after="120" w:lineRule="auto"/>
        <w:jc w:val="both"/>
        <w:rPr>
          <w:sz w:val="24"/>
          <w:szCs w:val="24"/>
        </w:rPr>
      </w:pPr>
      <w:r>
        <w:rPr>
          <w:sz w:val="24"/>
          <w:szCs w:val="24"/>
          <w:rtl w:val="0"/>
        </w:rPr>
        <w:t xml:space="preserve">I have carefully read your manuscript and found it very lengthy and lack of flow. It was difficult for me to track the main objective. Please make the manuscript concise and consider the fluency. Here are some of the points that I think need improvements: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thank Reviewer 2 for the careful reading and the constructive suggestions. We addressed each numbered recommendation individually below and revised the manuscript to improve its focus, flow, and the support for its claims.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#2.1</w:t>
      </w:r>
      <w:r>
        <w:rPr>
          <w:sz w:val="24"/>
          <w:szCs w:val="24"/>
          <w:rtl w:val="0"/>
        </w:rPr>
        <w:t xml:space="preserve">: Novelty against existing edge-based NILM systems is unclear and first claims should be supported by a concise technical comparison.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softened the 'first' claims and added a concise technical comparison with the edge-NILM and smart-meter work of Table 1 (Qualitative comparison with related frameworks; Section 2.3 'Contribution and Positioning'), stating four contributions: (i) deployment of a dilated TCN on an ARM926EJ-S SiP without FPU/GPU with real INT8 quantization and PC/board evidence, (ii) a controlled ablation that attributes the accuracy gain to the dilated residual architecture and shows what the device-type-weighted focal loss does and does not contribute, (iii) evaluation under an identical protocol on three datasets with cross-household and cross-dataset tests, and (iv) the integrated three-generation metering system.</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2.3 (Contribution and Positioning): comparison paragraph and Table 1 (Qualitative comparison with related frameworks); removal of 'first/uniquely' wording in the Abstract and Section 1 (Introduction).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#2.2</w:t>
      </w:r>
      <w:r>
        <w:rPr>
          <w:sz w:val="24"/>
          <w:szCs w:val="24"/>
          <w:rtl w:val="0"/>
        </w:rPr>
        <w:t xml:space="preserve">: Performance improvements over Seq2Point, UNet-NILM, and BERT4NILM lack confidence intervals or significance testing.</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Seeds and statistics (Section 6.3.4 'Multi-Dataset Performance', Table 8 'Overall performance'; Section 6.3.6 'Comparison with Baselines under an Identical Protocol', Table 11 'Comparison with baselines'): 5 seeds (3 for REFIT) with mean +/- std, block-bootstrap intervals, paired block-bootstrap tests, and re-implemented Seq2Point, UNet-NILM and BERT4NILM baselines trained under the identical protocol (EDTCN MAE 9-26% lower than the strongest baseline, p &lt; 0.001). The previous table of literature-approximated baseline numbers was removed because those values were not comparable.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6.3.4 (Multi-Dataset Performance; Table 8 'Overall performance'), Section 6.3.6 (Comparison with Baselines under an Identical Protocol, Table 11 'Comparison with baselines' and Figure 8 'Baseline MAE comparison').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#2.3</w:t>
      </w:r>
      <w:r>
        <w:rPr>
          <w:sz w:val="24"/>
          <w:szCs w:val="24"/>
          <w:rtl w:val="0"/>
        </w:rPr>
        <w:t xml:space="preserve">: Dataset splitting and cross-dataset evaluation need explicit description, including fine-tuning and dataset-specific optimization.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split and training protocol are explicit (Table 6 'Experimental protocol', Section 6.3.3 'Evaluation Datasets'); no fine-tuning or dataset-specific optimization is used in the main experiments. Cross-dataset behavior is evaluated separately with trained source models, zero-shot testing and few-day adaptation (Section 6.3.10 'Robustness to Unseen Households and Datasets'; Supplementary Table S8 'Per-house results', Table S9 'Leave-one-house-out' and Table S10 'Zero-shot transfer and adaptation').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6.3.3 (Evaluation Datasets; Table 6 'Experimental protocol', Experimental protocol); Section 6.3.10 (Robustness to Unseen Households and Datasets; Robustness; tables in the Supplementary Material, subsection 'Additional NILM results', Table S8 'Per-house results', Table S9 'Leave-one-house-out' and Table S10 'Zero-shot transfer and adaptation').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#2.4</w:t>
      </w:r>
      <w:r>
        <w:rPr>
          <w:sz w:val="24"/>
          <w:szCs w:val="24"/>
          <w:rtl w:val="0"/>
        </w:rPr>
        <w:t xml:space="preserve">: An ablation study is needed for dilated residual blocks, weighted focal loss, INT8 quantization, and compiler optimization.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contribution of each component is quantified: dilated residual blocks and the weighted focal loss in the ablation study (Section 6.3.5 'Ablation Study', Table 9 'Ablation study' and Table 10 'Effect of the device-type-weighted focal loss by usage type'; 5 seeds), and INT8 quantization with true INT8 NCNN models evaluated on the complete test splits (Section 6.3.12 'Embedded Deployment Pipeline', Table 13 'FP32 versus true INT8'; REFIT 59,927, SustDataED2 304, UK-DALE 2,488 windows): with ACIQ clipping the regression MAE changes by -0.8%, +2.5% and 0.0%, and with the validation-selected mixed-precision model by at most +0.4%; classification macro-F1 is more sensitive (-0.13 to -0.18 for all-INT8 KL, within 0.035 for mixed precision). The NCNN INT8 tools skip 1-D convolutions, so the layers were expressed as exactly equivalent 2-D convolutions. We added an operator-fusion ablation (Section 6.3.12 'Embedded Deployment Pipeline'; Supplementary Table S11 'Operator-fusion ablation'): each regression network was built unfused (Convolution, BatchNorm, ReLU separate), with BatchNorm folded, and as deployed (BatchNorm folded and ReLU merged); fusion removes one third of the layers and 0.9% of the weights and leaves FP32 and INT8 accuracy unchanged, so it is a lossless optimization; no latency benefit could be shown on the PC and its effect on the F1C200s was not measured.</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6.3.5 (Ablation Study, Table 9 'Ablation study' and Table 10 'Effect of the device-type-weighted focal loss by usage type'). Section 6.3.12 (Embedded Deployment Pipeline): Stage 2 (calibration) and Stage 3 (INT8) rewritten; new Table 13 (FP32 versus true INT8 NCNN on the complete test splits, evaluated on a PC); model sizes recomputed (3.9x) and given in the same table (the separate 'Model storage' table was removed as redundant); the unverified on-board accuracy table was removed and replaced by the full-test-split evaluation; timing, memory and power on the F1C200s (Table 14 'Hardware inference') kept from the authors' measurements; paragraph 'Effect of operator fusion' with the operator-fusion ablation in the Supplementary Material, subsection 'Additional NILM results' (Table S11 'Operator-fusion ablation'); soft-float ARM build in Stage 4 and Table S12 (ARM build agreement).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#2.5</w:t>
      </w:r>
      <w:r>
        <w:rPr>
          <w:sz w:val="24"/>
          <w:szCs w:val="24"/>
          <w:rtl w:val="0"/>
        </w:rPr>
        <w:t xml:space="preserve">: MAE and F1 alone are insufficient; include precision, recall, SAE, and energy estimation accuracy with justification of metrics.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Precision, recall, SAE, NDE and energy accuracy are reported (Section 6.3.4 'Multi-Dataset Performance', Table 8 'Overall performance'; Supplementary Table S3 'Per-appliance results, SustDataED2', Table S4 'Per-appliance results, REFIT' and Table S5 'Per-appliance results, UK-DALE') with a justification of what each metric measures.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6.3.4 (Multi-Dataset Performance: metric definitions and Table 8 'Overall performance'); per-appliance tables in the Supplementary Material, subsection 'Additional NILM results' (Table S3 'Per-appliance results, SustDataED2', Table S4 'Per-appliance results, REFIT' and Table S5 'Per-appliance results, UK-DALE').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#2.6</w:t>
      </w:r>
      <w:r>
        <w:rPr>
          <w:sz w:val="24"/>
          <w:szCs w:val="24"/>
          <w:rtl w:val="0"/>
        </w:rPr>
        <w:t xml:space="preserve">: Privacy is discussed conceptually; residual risks and comparison with federated or encrypted approaches are not evaluated.</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A privacy threat model is added (Supplementary Material, 'Privacy and security details', with a summary in Section 7.2 'Deployment Considerations'): data flow, what leaves the meter and what is stored in the cloud, a threat/leakage/mitigation/residual-risk table (Supplementary Table S18 'Privacy threats') that separates implemented controls from recommended ones, and a comparison with federated learning, homomorphic encryption and secure aggregation under the 64 MB constraint. The paper states that edge processing reduces raw-data exposure but does not prevent inference from shared outputs.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7.2 (Deployment Considerations, paragraph 'Privacy and failure handling'); Supplementary Material, subsection 'Privacy and security details' (privacy paragraph, Table S18 'Privacy threats' and the comparison with federated learning, homomorphic encryption and secure aggregation).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#2.7</w:t>
      </w:r>
      <w:r>
        <w:rPr>
          <w:sz w:val="24"/>
          <w:szCs w:val="24"/>
          <w:rtl w:val="0"/>
        </w:rPr>
        <w:t xml:space="preserve">: Scalability to thousands or millions of meters needs discussion of updates, maintenance, model synchronization, and reliability.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A lifecycle and scalability paragraph (Section 7.2 'Deployment Considerations', 'Updates and scale') states the current update approach (system overwritten through the available communication mechanism), model version tracking with MLflow, that firmware-signature verification is planned and not claimed, and that backend/MSSQL capacity and fleet-scale load have not been validated; no capacity claim is made. We added order-of-magnitude estimates per million meters (forecast data about 0.8 GB per day, about 1 TB for a full model update; the number of meters per CPU core for the forecasting job is given in Section 6.2 'Energy Demand Forecasting' and Supplementary Table S22 'Forecasting computational cost'), labelled as estimates, and state that rollout, version reporting and failure handling of model distribution are future work.</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7.2 (Deployment Considerations, paragraph 'Updates and scale'); meters per CPU core for the forecasting job in Section 6.2 (Energy Demand Forecasting) and in the Supplementary Material, subsection 'Forecasting models: computational cost' (Table S22 'Forecasting computational cost').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#2.8</w:t>
      </w:r>
      <w:r>
        <w:rPr>
          <w:sz w:val="24"/>
          <w:szCs w:val="24"/>
          <w:rtl w:val="0"/>
        </w:rPr>
        <w:t xml:space="preserve">: Harmonic measurements should be validated against a commercial or certified reference analyzer.</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The comparison with a certified or commercial analyzer was not possible; the paper states this plainly (Section 6.1 'Power Quality and Harmonic Analysis': THD values are prototype-level measurements verified on synthetic signals and cross-checked, not compared with a certified analyzer, and the prototype is not certified). All IEEE 519 wording, including the IEEE 519 screening paragraph and 'IEEE 519-compliant', was removed. The synthetic verification, cross-checks and uncertainty budget are in the Supplementary Material (Table S14 'THD estimator verification', Table S19 'Consistency checks of the prototype measurement' and Table S20 'THD uncertainty budget'). This measurement requires instrumentation that was not available for this study and is outside the scope of the present work; it is stated as not carried out in Section 7.3 (Limitations), no claim is made about it, and it is planned for the pilot deployments.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6.1 (Power Quality and Harmonic Analysis); Section 2.3 (Contribution and Positioning); Section 8 (Conclusion); Section 7.3 (Limitations). Verification and uncertainty details in the Supplementary Material: subsection 'Harmonic verification and forecasting benchmark' (Table S14 'THD estimator verification', Figure S17 'THD estimator verification'), subsection 'Cross-checks of the prototype measurement' (Table S19 'Consistency checks of the prototype measurement') and subsection 'Uncertainty budget of the THD measurement' (Table S20 'THD uncertainty budget').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#2.9</w:t>
      </w:r>
      <w:r>
        <w:rPr>
          <w:sz w:val="24"/>
          <w:szCs w:val="24"/>
          <w:rtl w:val="0"/>
        </w:rPr>
        <w:t xml:space="preserve">: Inference latency must be aligned with the intended sampling interval and practical real-time operation.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See R1.9/R1.10 (Section 6.3.12 'Embedded Deployment Pipeline', Table 14 'Hardware inference'): the inference latency is related to the 68.3-minute window and the 15-minute reporting interval, with the CPU duty cycle (11-14%) and the delay of the result (about 2 min).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6.3.12 (Embedded Deployment Pipeline): Table 14 (hardware inference) and paragraph 'Latency, duty cycle and energy'; Table S13 (Latency budget) in the Supplementary Material, subsection 'Additional NILM results'.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#2.10</w:t>
      </w:r>
      <w:r>
        <w:rPr>
          <w:sz w:val="24"/>
          <w:szCs w:val="24"/>
          <w:rtl w:val="0"/>
        </w:rPr>
        <w:t xml:space="preserve">: The paper should discuss long-term robustness under changing household behavior and appliance inventories.</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Long-term robustness (Section 6.3.10 'Robustness to Unseen Households and Datasets'; Supplementary Table S8 'Per-house results', Table S9 'Leave-one-house-out' and Table S10 'Zero-shot transfer and adaptation') is addressed with (i) adaptation experiments (1-7 days of target data, EWC to limit forgetting), (ii) leave-one-house-out results and (iii) an analysis of four consecutive chronological quarters of the test split (no monotonic degradation; the UK-DALE test period is about four months). The limits are stated: multi-year drift and changes of the appliance inventory could not be assessed with the available data and long-term field validation is future work.</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6.3.10 (Robustness to Unseen Households and Datasets; Robustness; paragraphs 'Results' and 'Behavior over time'; Table S10 'Zero-shot transfer and adaptation' in the Supplementary Material, subsection 'Additional NILM results'); Section 7.3 (Limitations, paragraph 'NILM evaluation').</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#2.11</w:t>
      </w:r>
      <w:r>
        <w:rPr>
          <w:sz w:val="24"/>
          <w:szCs w:val="24"/>
          <w:rtl w:val="0"/>
        </w:rPr>
        <w:t xml:space="preserve">: Computational complexity analysis is needed, including operations, memory footprint, parameters, and inference efficiency.</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Computational complexity is reported (Section 6.3.1 'Enhanced EDTCN architecture'; Supplementary Table S2 'Layer-by-layer description of the EDTCN'; Section 6.3.6 'Comparison with Baselines under an Identical Protocol', Table 11 'Comparison with baselines'; Section 6.3.12 'Embedded Deployment Pipeline', Table 15 'Energy and throughput metrics'): parameters (706,889 / 743,948), MACs per window (377.8 M / 396.7 M), memory (FP32 2.83 MB, INT8 0.71 MB weights), a comparison with the baselines (52-85 M MACs versus 397 M for the 12-head EDTCN) and a 4-block variant (282 M MACs, 12 heads), plus energy per inference on the device.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 (Enhanced EDTCN architecture: parameters, MACs and memory); Supplementary Material, subsection 'Additional NILM results' (Table S2 'Layer-by-layer description of the EDTCN'); Section 6.3.6 (Comparison with Baselines under an Identical Protocol; Table 11 'Comparison with baselines'); Section 6.3.12 (Embedded Deployment Pipeline; Table 15 'Energy and throughput metrics').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#2.12</w:t>
      </w:r>
      <w:r>
        <w:rPr>
          <w:sz w:val="24"/>
          <w:szCs w:val="24"/>
          <w:rtl w:val="0"/>
        </w:rPr>
        <w:t xml:space="preserve">: Implementation details needed for reproduction are missing, including seeds, software versions, repetitions, optimizer settings, schedules, and training hardware.</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Implementation details are given (Section 6.3.2 'Training Strategy and Loss Functions'; optimizer, schedule, batch size, epochs, early stopping, seeds, software versions, training hardware, statistics, number of runs). Public release of code, checkpoints and exact split indices requires the authors to provide the repository link. A reproducibility table (Supplementary Table S23 'Software versions and checkpoint checksums') lists the software versions, the window counts of every split and the SHA-256 checksums of the six deployed checkpoints; code, checkpoints and the exact split indices are available from the authors upon reasonable request.</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6.3.2 (Training Strategy and Loss Functions; paragraph 'Controlled experiments and reproducibility'); Supplementary Material, subsection 'Reproducibility Details of the NILM Experiments' (Table S23 'Software versions and checkpoint checksums').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#2.13</w:t>
      </w:r>
      <w:r>
        <w:rPr>
          <w:sz w:val="24"/>
          <w:szCs w:val="24"/>
          <w:rtl w:val="0"/>
        </w:rPr>
        <w:t xml:space="preserve">: Cloud-assisted forecasting needs limitations analysis for connectivity loss, communication delay, and cloud interruption.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We added a paragraph on operation during cloud outages (Section 6.2 'Energy Demand Forecasting'; Supplementary Table S16 'Forecast MAE during cloud outages' and Figure S19 'Forecast MAE versus outage time'). Metrology, harmonic analysis and NILM run on the meter and are not affected; the meter buffers its 15-min values and uploads them after reconnection, so no data are lost. For the forecasts, we quantified the accuracy of the 1-h-ahead forecast against the outage duration: the cached 24-h cloud forecast degrades from 155.9 W MAE when connected to 164.3 W on average over a 24-h outage and remains more accurate than a local ARIMA(1,1,0) forecast computed on the meter (192.4 W) for up to 23 h; beyond that the meter falls back to the local forecast (183.0 W mean over a three-day outage). Communication delays of seconds to minutes are small compared with the 15-min forecast interval; a delay of up to one interval corresponds to the 15-min row of the outage analysis (Supplementary Table S16 'Forecast MAE during cloud outages').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6.2 (Energy Demand Forecasting): paragraph on operation during cloud outages; Supplementary Material, subsection 'Forecast outage analysis and failure modes' (Table S16 'Forecast MAE during cloud outages' and Figure S19 'Forecast MAE versus outage time').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#2.14</w:t>
      </w:r>
      <w:r>
        <w:rPr>
          <w:sz w:val="24"/>
          <w:szCs w:val="24"/>
          <w:rtl w:val="0"/>
        </w:rPr>
        <w:t xml:space="preserve">: Hardware efficiency should use standardized metrics such as energy per inference and throughput per watt, not only power and cost.</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Energy per inference (about 52 J per window, 8.4 J above idle for the REFIT model), inferences per watt-hour (about 69) and average board power at a 15-minute cadence (about 0.44 W) are derived from the measured power and timing (Table 15 'Energy and throughput metrics', Section 6.3.12 'Embedded Deployment Pipeline').</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6.3.12 (Embedded Deployment Pipeline): paragraph 'Latency, duty cycle and energy' and new Table 15 (Energy and throughput metrics).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6">
      <w:pPr>
        <w:spacing w:after="120" w:before="120" w:lineRule="auto"/>
        <w:jc w:val="both"/>
        <w:rPr>
          <w:sz w:val="24"/>
          <w:szCs w:val="24"/>
        </w:rPr>
      </w:pPr>
      <w:r>
        <w:rPr>
          <w:b w:val="1"/>
          <w:bCs w:val="1"/>
          <w:color w:val="0070c0"/>
          <w:sz w:val="24"/>
          <w:szCs w:val="24"/>
          <w:rtl w:val="0"/>
        </w:rPr>
        <w:t xml:space="preserve">Reviewer #2.15</w:t>
      </w:r>
      <w:r>
        <w:rPr>
          <w:sz w:val="24"/>
          <w:szCs w:val="24"/>
          <w:rtl w:val="0"/>
        </w:rPr>
        <w:t xml:space="preserve">: The limitations and future-work section should cover three-phase systems, industrial environments, larger appliance sets, grid standards, cybersecurity, and long-term field validation.</w:t>
      </w:r>
      <w:r>
        <w:rPr>
          <w:rtl w:val="0"/>
        </w:rPr>
      </w:r>
    </w:p>
    <w:p w:rsidR="00000000" w:rsidDel="00000000" w:rsidP="00000000" w:rsidRDefault="00000000" w:rsidRPr="00000000" w14:paraId="00000017">
      <w:pPr>
        <w:spacing w:after="120" w:before="120" w:lineRule="auto"/>
        <w:jc w:val="both"/>
        <w:rPr>
          <w:b w:val="1"/>
          <w:bCs w:val="1"/>
          <w:color w:val="ff0000"/>
          <w:sz w:val="24"/>
          <w:szCs w:val="24"/>
        </w:rPr>
      </w:pPr>
      <w:r>
        <w:rPr>
          <w:b w:val="1"/>
          <w:bCs w:val="1"/>
          <w:color w:val="ff0000"/>
          <w:sz w:val="24"/>
          <w:szCs w:val="24"/>
          <w:rtl w:val="0"/>
        </w:rPr>
        <w:t xml:space="preserve">Author response:</w:t>
      </w:r>
    </w:p>
    <w:p w:rsidR="00000000" w:rsidDel="00000000" w:rsidP="00000000" w:rsidRDefault="00000000" w:rsidRPr="00000000" w14:paraId="00000018">
      <w:pPr>
        <w:spacing w:after="120" w:before="120" w:lineRule="auto"/>
        <w:jc w:val="both"/>
        <w:rPr>
          <w:sz w:val="24"/>
          <w:szCs w:val="24"/>
        </w:rPr>
      </w:pPr>
      <w:r>
        <w:rPr>
          <w:sz w:val="24"/>
          <w:szCs w:val="24"/>
          <w:rtl w:val="0"/>
        </w:rPr>
        <w:t xml:space="preserve">Section 7.3 (Limitations) is consolidated into three paragraphs: NILM evaluation and scope (single-phase residential 230 V, 50 Hz; three-phase, industrial and 60 Hz installations not evaluated; larger appliance sets bounded by the one-head-per-appliance design and the 64 MB memory), hardware and scope (uncertified prototype; the measurements that were not carried out are listed and not claimed), and future work (including systematic security evaluation and pilot field deployments for long-term validation of reliability and drift). The cybersecurity limitations (penetration testing, signed updates, device identity, secure boot, security monitoring) are detailed in the Supplementary Material, 'Privacy and security details'.</w:t>
      </w:r>
    </w:p>
    <w:p w:rsidR="00000000" w:rsidDel="00000000" w:rsidP="00000000" w:rsidRDefault="00000000" w:rsidRPr="00000000" w14:paraId="0000001C">
      <w:pPr>
        <w:spacing w:after="120" w:before="120" w:lineRule="auto"/>
        <w:jc w:val="both"/>
        <w:rPr>
          <w:sz w:val="24"/>
          <w:szCs w:val="24"/>
        </w:rPr>
      </w:pPr>
      <w:r>
        <w:rPr>
          <w:rtl w:val="0"/>
        </w:rPr>
      </w:r>
    </w:p>
    <w:p w:rsidR="00000000" w:rsidDel="00000000" w:rsidP="00000000" w:rsidRDefault="00000000" w:rsidRPr="00000000" w14:paraId="0000001A">
      <w:pPr>
        <w:spacing w:after="120" w:before="120" w:lineRule="auto"/>
        <w:jc w:val="both"/>
        <w:rPr/>
      </w:pPr>
      <w:r>
        <w:rPr>
          <w:b w:val="1"/>
          <w:bCs w:val="1"/>
          <w:color w:val="ff0000"/>
          <w:sz w:val="24"/>
          <w:szCs w:val="24"/>
          <w:rtl w:val="0"/>
        </w:rPr>
        <w:t xml:space="preserve">Author action:</w:t>
      </w:r>
      <w:r>
        <w:rPr>
          <w:rtl w:val="0"/>
        </w:rPr>
      </w:r>
    </w:p>
    <w:p w:rsidR="00000000" w:rsidDel="00000000" w:rsidP="00000000" w:rsidRDefault="00000000" w:rsidRPr="00000000" w14:paraId="0000001B">
      <w:pPr>
        <w:spacing w:after="120" w:lineRule="auto"/>
        <w:jc w:val="both"/>
        <w:rPr>
          <w:sz w:val="24"/>
          <w:szCs w:val="24"/>
        </w:rPr>
      </w:pPr>
      <w:r>
        <w:rPr>
          <w:sz w:val="24"/>
          <w:szCs w:val="24"/>
          <w:rtl w:val="0"/>
        </w:rPr>
        <w:t xml:space="preserve">Section 7.3 (Limitations: paragraphs 'NILM evaluation', 'Hardware and scope' and 'Future work'); Supplementary Material, subsection 'Privacy and security details' (cybersecurity limitations and future work).</w:t>
      </w:r>
    </w:p>
    <w:p w:rsidR="00000000" w:rsidDel="00000000" w:rsidP="00000000" w:rsidRDefault="00000000" w:rsidRPr="00000000" w14:paraId="0000001C">
      <w:pPr>
        <w:spacing w:after="120" w:before="120" w:lineRule="auto"/>
        <w:jc w:val="both"/>
        <w:rPr>
          <w:sz w:val="24"/>
          <w:szCs w:val="24"/>
        </w:rPr>
      </w:pPr>
      <w:r>
        <w:rPr>
          <w:rtl w:val="0"/>
        </w:rPr>
      </w:r>
    </w:p>
    <w:sectPr>
      <w:pgSz w:h="16840" w:w="11900"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hBUNxNhyRQ9r58Gq/wIi1fHeQ==">CgMxLjA4AHIhMVQ5WnNjdWJGaTRxS3Y2ekhvZFA5ZjhpbEZjWXhmZTNW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