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Finding the Value That Is Not Yet Priced — Partner Revenue OS (Reven)</w:t>
      </w:r>
    </w:p>
    <w:p>
      <w:r>
        <w:rPr>
          <w:b/>
        </w:rPr>
        <w:t>Document type:</w:t>
      </w:r>
      <w:r>
        <w:t xml:space="preserve"> Valuation analysis — the gap between value created and value captured, staged across the product roadmap.</w:t>
      </w:r>
    </w:p>
    <w:p>
      <w:r>
        <w:rPr>
          <w:b/>
        </w:rPr>
        <w:t>Prepared:</w:t>
      </w:r>
      <w:r>
        <w:t xml:space="preserve"> 2026-07-19. </w:t>
      </w:r>
      <w:r>
        <w:rPr>
          <w:b/>
        </w:rPr>
        <w:t>Base currency:</w:t>
      </w:r>
      <w:r>
        <w:t xml:space="preserve"> SAR (USD converted at the repo's 3.75 peg where a source is in USD).</w:t>
      </w:r>
    </w:p>
    <w:p>
      <w:r>
        <w:rPr>
          <w:b/>
        </w:rPr>
        <w:t>Companion documents:</w:t>
      </w:r>
      <w:r>
        <w:t xml:space="preserve"> </w:t>
      </w:r>
      <w:r>
        <w:rPr>
          <w:rFonts w:ascii="Consolas" w:hAnsi="Consolas"/>
          <w:sz w:val="19"/>
        </w:rPr>
        <w:t>Pre_Seed_2M_SAR_Financial_Model_Blueprint.md</w:t>
      </w:r>
      <w:r>
        <w:t xml:space="preserve"> (the priced number), </w:t>
      </w:r>
      <w:r>
        <w:rPr>
          <w:rFonts w:ascii="Consolas" w:hAnsi="Consolas"/>
          <w:sz w:val="19"/>
        </w:rPr>
        <w:t>Saudi_Riyal_Map_Market_Sizing_and_Value_Capture.md</w:t>
      </w:r>
      <w:r>
        <w:t xml:space="preserve"> (the pools), </w:t>
      </w:r>
      <w:r>
        <w:rPr>
          <w:rFonts w:ascii="Consolas" w:hAnsi="Consolas"/>
          <w:sz w:val="19"/>
        </w:rPr>
        <w:t>Reven_Pricing_Architecture_Deep_Research.md</w:t>
      </w:r>
      <w:r>
        <w:t xml:space="preserve"> (the capture ratio), </w:t>
      </w:r>
      <w:r>
        <w:rPr>
          <w:rFonts w:ascii="Consolas" w:hAnsi="Consolas"/>
          <w:sz w:val="19"/>
        </w:rPr>
        <w:t>Reverse_Engineered_Strategy_PRM_to_Revenue_Sharing_to_Orchestration.md</w:t>
      </w:r>
      <w:r>
        <w:t xml:space="preserve"> (the gates and moat timing), </w:t>
      </w:r>
      <w:r>
        <w:rPr>
          <w:rFonts w:ascii="Consolas" w:hAnsi="Consolas"/>
          <w:sz w:val="19"/>
        </w:rPr>
        <w:t>Partner_Revenue_OS_Venture_Scale_Narrative.md</w:t>
      </w:r>
      <w:r>
        <w:t xml:space="preserve"> (the equity story).</w:t>
      </w:r>
    </w:p>
    <w:p>
      <w:r>
        <w:rPr>
          <w:b/>
        </w:rPr>
        <w:t>Evidence discipline (read first).</w:t>
      </w:r>
      <w:r>
        <w:t xml:space="preserve"> This document invents no traction, no ACV, no valuation. Every company-specific commercial figure in the repository is deliberately blank, and the two most-quoted market numbers depend on estimates the source docs themselves label "decision-framing, not audited." So each figure below carries its origin: </w:t>
      </w:r>
      <w:r>
        <w:rPr>
          <w:b/>
        </w:rPr>
        <w:t>[canonical]</w:t>
      </w:r>
      <w:r>
        <w:t xml:space="preserve"> = a reconciled internal fact; </w:t>
      </w:r>
      <w:r>
        <w:rPr>
          <w:b/>
        </w:rPr>
        <w:t>[derived]</w:t>
      </w:r>
      <w:r>
        <w:t xml:space="preserve"> = arithmetic shown, from the Riyal Map's sourced inputs; </w:t>
      </w:r>
      <w:r>
        <w:rPr>
          <w:b/>
        </w:rPr>
        <w:t>[illustrative]</w:t>
      </w:r>
      <w:r>
        <w:t xml:space="preserve"> = a labeled scenario cell from the pricing model, not a forecast; </w:t>
      </w:r>
      <w:r>
        <w:rPr>
          <w:b/>
        </w:rPr>
        <w:t>[external]</w:t>
      </w:r>
      <w:r>
        <w:t xml:space="preserve"> = a cited third party; </w:t>
      </w:r>
      <w:r>
        <w:rPr>
          <w:b/>
        </w:rPr>
        <w:t>[assumption]</w:t>
      </w:r>
      <w:r>
        <w:t xml:space="preserve"> = a stated hypothesis; </w:t>
      </w:r>
      <w:r>
        <w:rPr>
          <w:b/>
        </w:rPr>
        <w:t>[proposed]</w:t>
      </w:r>
      <w:r>
        <w:t xml:space="preserve"> = an argument this document adds that the corpus does not yet make; </w:t>
      </w:r>
      <w:r>
        <w:rPr>
          <w:b/>
        </w:rPr>
        <w:t>[external]</w:t>
      </w:r>
      <w:r>
        <w:t xml:space="preserve"> figures added from the commissioned research carry their adversarial-verification vote (e.g., 3-0), and where they are US or global rather than Saudi they carry an explicit scaling-analogue caveat — no US or global number is presented here as a Saudi market size. Three widely-circulated leakage statistics ("~24% median partner revenue," "EY 1–5% EBITDA leakage," "42% of CFOs") are flagged in </w:t>
      </w:r>
      <w:r>
        <w:rPr>
          <w:rFonts w:ascii="Consolas" w:hAnsi="Consolas"/>
          <w:sz w:val="19"/>
        </w:rPr>
        <w:t>Partner_Revenue_OS_Pricing_and_Commercial_Strategy.md</w:t>
      </w:r>
      <w:r>
        <w:t xml:space="preserve"> §6.4 as untraceable or fabricated; they appear nowhere in the analysis below, and no ROI claim here rests on them.</w:t>
      </w:r>
    </w:p>
    <w:p>
      <w:pPr>
        <w:pStyle w:val="Heading1"/>
      </w:pPr>
      <w:r>
        <w:t>Contents</w:t>
      </w:r>
    </w:p>
    <w:p>
      <w:r>
        <w:fldChar w:fldCharType="begin"/>
        <w:instrText xml:space="preserve">TOC \o "1-3" \h \z \u</w:instrText>
        <w:fldChar w:fldCharType="separate"/>
        <w:t>Update this field to build the table of contents.</w:t>
        <w:fldChar w:fldCharType="end"/>
      </w:r>
    </w:p>
    <w:p>
      <w:pPr>
        <w:pStyle w:val="Heading1"/>
      </w:pPr>
      <w:r>
        <w:t>The answer</w:t>
      </w:r>
    </w:p>
    <w:p>
      <w:r>
        <w:t xml:space="preserve">The SAR 18,000,000 pre-money price [canonical: Blueprint §1] values one thing: the option to build Phase 1 (Capture) on a well-argued thesis with zero customers. Almost every source of enterprise value in this business is excluded from that number — not because the market missed it, but because the founders' own discipline (a zero-revenue model, every forward figure stripped, the "de-hallucinate" commits) puts it out of scope until it is proven. The unpriced value is therefore not hidden; it is </w:t>
      </w:r>
      <w:r>
        <w:rPr>
          <w:b/>
        </w:rPr>
        <w:t>optioned and gated</w:t>
      </w:r>
      <w:r>
        <w:t>, and each option is exercisable only after a specific, written proof gate clears.</w:t>
      </w:r>
    </w:p>
    <w:p>
      <w:r>
        <w:t xml:space="preserve">The largest single pool of unpriced value is a </w:t>
      </w:r>
      <w:r>
        <w:rPr>
          <w:i/>
        </w:rPr>
        <w:t>choice</w:t>
      </w:r>
      <w:r>
        <w:t>: the pricing model captures 10–20% of the value a customer can measure and deliberately leaves the other 80–90% with the customer as a 5–10× ROI [illustrative: Pricing DR §10.3]. On the company's own worked cells, that is SAR 375K–4.46M of measurable annual value created per customer against a SAR 55K–800K price [illustrative: Pricing DR §10.2]. Reven does not yet price the flow underneath (a SAR 500–850B/yr base [derived: Riyal Map §2]), the bilateral data graph it would accumulate, the ~100%-margin benchmark layer, or the working-capital it could release across the economy. None of these is a line in the model today.</w:t>
      </w:r>
    </w:p>
    <w:p>
      <w:r>
        <w:t xml:space="preserve">The whole re-rating engine is </w:t>
      </w:r>
      <w:r>
        <w:rPr>
          <w:b/>
        </w:rPr>
        <w:t>evidence at the gates</w:t>
      </w:r>
      <w:r>
        <w:t>. The single highest-leverage act the company can perform is not building more surface area; it is converting the Phase-1 exit gate — 100+ real claims, 3–5 paid design partners, a finance-accepted evidence pack, weekly active use [canonical: Reverse strategy; Audit §2] — because that one event converts the whole option chain behind it from "possible" to "priceable." Everything in this document is downstream of that.</w:t>
      </w:r>
    </w:p>
    <w:p>
      <w:pPr>
        <w:pStyle w:val="Heading1"/>
      </w:pPr>
      <w:r>
        <w:t>1. What the SAR 18M actually prices — and what it excludes by construction</w:t>
      </w:r>
    </w:p>
    <w:p>
      <w:r>
        <w:t xml:space="preserve">The pre-seed round is SAR 2,000,000 for 10%, implying SAR 18M pre-money / SAR 20M post-money, modeled as a 12-month </w:t>
      </w:r>
      <w:r>
        <w:rPr>
          <w:b/>
        </w:rPr>
        <w:t>zero-revenue</w:t>
      </w:r>
      <w:r>
        <w:t xml:space="preserve"> runway at ~SAR 159K/month average burn, reaching 10 people by Month 2 [canonical: Blueprint §1, §5]. All twelve modeled months sit inside Phase 1 — Capture; no money movement, no settlement, no revenue is in scope [canonical: Blueprint §1].</w:t>
      </w:r>
    </w:p>
    <w:p>
      <w:r>
        <w:t xml:space="preserve">That price is a </w:t>
      </w:r>
      <w:r>
        <w:rPr>
          <w:b/>
        </w:rPr>
        <w:t>thesis-and-team price</w:t>
      </w:r>
      <w:r>
        <w:t>, and it is roughly the right one for what is proven, which is nothing: no signed customer, pilot, or booking exists anywhere in the repo [canonical: Venture Narrative §1]. What the price excludes is not a rounding error — it is the entire business behind Phase 1. Three structural reasons the exclusion is total:</w:t>
      </w:r>
    </w:p>
    <w:p>
      <w:r>
        <w:rPr>
          <w:b/>
        </w:rPr>
        <w:t>The zero-revenue convention prices out everything forward.</w:t>
      </w:r>
      <w:r>
        <w:t xml:space="preserve"> A round sized to survive on cash alone, with every ACV and NRR cell left blank, cannot by construction carry the value of a settlement ledger that does not exist or a network that has not formed. The founders chose this. It is a credibility signal — a team that refuses to fabricate a model — but it also means the priced number is a floor on belief, not an estimate of the enterprise.</w:t>
      </w:r>
    </w:p>
    <w:p>
      <w:r>
        <w:rPr>
          <w:b/>
        </w:rPr>
        <w:t>The value sits behind compound gates, and compound gates multiply their risk.</w:t>
      </w:r>
      <w:r>
        <w:t xml:space="preserve"> Settle cannot be built until Capture's gate clears; Orchestrate's flow economics cannot be priced until Settle is entrenched and — separately — until SAMA licenses payment initiation [canonical: Riyal Map §0, gated ~2027+]. The probability of reaching the flow layer is the product of clearing each gate, and today the first gate sits at zero customers. A price that paid in advance for the terminal state would be mispricing the conditionality.</w:t>
      </w:r>
    </w:p>
    <w:p>
      <w:r>
        <w:rPr>
          <w:b/>
        </w:rPr>
        <w:t>Management's own endpoint is staged, not singular.</w:t>
      </w:r>
      <w:r>
        <w:t xml:space="preserve"> The pricing deep-research states the honest base case plainly: "an excellent $20–60M-ARR, capital-efficient, default-alive business with a credible $50–300M strategic exit, with unicorn outcomes as </w:t>
      </w:r>
      <w:r>
        <w:rPr>
          <w:i/>
        </w:rPr>
        <w:t>optionality funded only if cross-tenant density and observed NRR ≥120% actually appear</w:t>
      </w:r>
      <w:r>
        <w:t xml:space="preserve">" [Pricing DR closing]. That is the correct frame for this whole analysis. The unpriced value is mostly the distance between "default-alive $20–60M ARR software company" and "the ledger every Partner P&amp;L runs on" — and the company itself prices the latter as optionality, not as base case. This document honors that: it separates value that becomes </w:t>
      </w:r>
      <w:r>
        <w:rPr>
          <w:i/>
        </w:rPr>
        <w:t>base case</w:t>
      </w:r>
      <w:r>
        <w:t xml:space="preserve"> as gates clear from value that remains </w:t>
      </w:r>
      <w:r>
        <w:rPr>
          <w:i/>
        </w:rPr>
        <w:t>optionality</w:t>
      </w:r>
      <w:r>
        <w:t xml:space="preserve"> until specific conditions appear.</w:t>
      </w:r>
    </w:p>
    <w:p>
      <w:r>
        <w:t xml:space="preserve">The method here is the standard one for a phase-gated company, and the external literature names it. Expectations Investing (Mauboussin and Rappaport) states intrinsic value as the discounted-cash-flow value of the </w:t>
      </w:r>
      <w:r>
        <w:rPr>
          <w:i/>
        </w:rPr>
        <w:t>existing</w:t>
      </w:r>
      <w:r>
        <w:t xml:space="preserve"> business plus a </w:t>
      </w:r>
      <w:r>
        <w:rPr>
          <w:i/>
        </w:rPr>
        <w:t>separately computed</w:t>
      </w:r>
      <w:r>
        <w:t xml:space="preserve"> real-options value for the right — not the obligation — to expand; a DCF alone "understates the value of flexibility" [external: expectationsinvesting.com; CFA Institute — verified 3-0]. Damodaran's narrative-and-numbers discipline then turns the story into a number through an ordered sequence that puts total addressable market </w:t>
      </w:r>
      <w:r>
        <w:rPr>
          <w:i/>
        </w:rPr>
        <w:t>first</w:t>
      </w:r>
      <w:r>
        <w:t xml:space="preserve">, while warning that roughly 90% of a young company's valuation uncertainty is irreducible economic uncertainty no analysis can remove [external: Damodaran, </w:t>
      </w:r>
      <w:r>
        <w:rPr>
          <w:i/>
        </w:rPr>
        <w:t>Narrative and Numbers</w:t>
      </w:r>
      <w:r>
        <w:t>, 2017 — verified 3-0]. Both map onto this roadmap directly: the priced SAR 18M is the DCF-of-the-existing-business term, and everything in Section 2 is the separately-computed option value.</w:t>
      </w:r>
    </w:p>
    <w:p>
      <w:pPr>
        <w:pStyle w:val="Heading1"/>
      </w:pPr>
      <w:r>
        <w:t>2. The value bridge: what becomes priceable at each gate</w:t>
      </w:r>
    </w:p>
    <w:p>
      <w:r>
        <w:t>Each phase of the roadmap makes a new valuation basis legitimate. The 7 Powers moat table in the strategy canon dates when each source of durability turns on [Reverse strategy, Part D]:</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E7E6E6"/>
          </w:tcPr>
          <w:p>
            <w:pPr>
              <w:spacing w:after="40"/>
            </w:pPr>
            <w:r>
              <w:rPr>
                <w:b/>
              </w:rPr>
              <w:t>Power</w:t>
            </w:r>
          </w:p>
        </w:tc>
        <w:tc>
          <w:tcPr>
            <w:tcW w:type="dxa" w:w="3120"/>
            <w:shd w:val="clear" w:color="auto" w:fill="E7E6E6"/>
          </w:tcPr>
          <w:p>
            <w:pPr>
              <w:spacing w:after="40"/>
            </w:pPr>
            <w:r>
              <w:rPr>
                <w:b/>
              </w:rPr>
              <w:t>Turns on</w:t>
            </w:r>
          </w:p>
        </w:tc>
        <w:tc>
          <w:tcPr>
            <w:tcW w:type="dxa" w:w="3120"/>
            <w:shd w:val="clear" w:color="auto" w:fill="E7E6E6"/>
          </w:tcPr>
          <w:p>
            <w:pPr>
              <w:spacing w:after="40"/>
            </w:pPr>
            <w:r>
              <w:rPr>
                <w:b/>
              </w:rPr>
              <w:t>Why it is worth ~0 before then</w:t>
            </w:r>
          </w:p>
        </w:tc>
      </w:tr>
      <w:tr>
        <w:tc>
          <w:tcPr>
            <w:tcW w:type="dxa" w:w="3120"/>
          </w:tcPr>
          <w:p>
            <w:pPr>
              <w:spacing w:after="40"/>
            </w:pPr>
            <w:r>
              <w:rPr>
                <w:b/>
              </w:rPr>
              <w:t>Counter-positioning</w:t>
            </w:r>
            <w:r>
              <w:t xml:space="preserve"> (compliance-native, finance-grade revenue handling incumbents won't copy without cannibalizing)</w:t>
            </w:r>
          </w:p>
        </w:tc>
        <w:tc>
          <w:tcPr>
            <w:tcW w:type="dxa" w:w="3120"/>
          </w:tcPr>
          <w:p>
            <w:pPr>
              <w:spacing w:after="40"/>
            </w:pPr>
            <w:r>
              <w:t>Day one</w:t>
            </w:r>
          </w:p>
        </w:tc>
        <w:tc>
          <w:tcPr>
            <w:tcW w:type="dxa" w:w="3120"/>
          </w:tcPr>
          <w:p>
            <w:pPr>
              <w:spacing w:after="40"/>
            </w:pPr>
            <w:r>
              <w:t xml:space="preserve">Available now, but only as a </w:t>
            </w:r>
            <w:r>
              <w:rPr>
                <w:i/>
              </w:rPr>
              <w:t>reason to be chosen</w:t>
            </w:r>
            <w:r>
              <w:t>, not yet a moat</w:t>
            </w:r>
          </w:p>
        </w:tc>
      </w:tr>
      <w:tr>
        <w:tc>
          <w:tcPr>
            <w:tcW w:type="dxa" w:w="3120"/>
          </w:tcPr>
          <w:p>
            <w:pPr>
              <w:spacing w:after="40"/>
            </w:pPr>
            <w:r>
              <w:rPr>
                <w:b/>
              </w:rPr>
              <w:t>Switching costs</w:t>
            </w:r>
            <w:r>
              <w:t xml:space="preserve"> (bilateral history, evidence packs, audit trail, cadence rituals)</w:t>
            </w:r>
          </w:p>
        </w:tc>
        <w:tc>
          <w:tcPr>
            <w:tcW w:type="dxa" w:w="3120"/>
          </w:tcPr>
          <w:p>
            <w:pPr>
              <w:spacing w:after="40"/>
            </w:pPr>
            <w:r>
              <w:t>Phase 2 (Settle)</w:t>
            </w:r>
          </w:p>
        </w:tc>
        <w:tc>
          <w:tcPr>
            <w:tcW w:type="dxa" w:w="3120"/>
          </w:tcPr>
          <w:p>
            <w:pPr>
              <w:spacing w:after="40"/>
            </w:pPr>
            <w:r>
              <w:t>No history exists to be locked in until the ledger runs</w:t>
            </w:r>
          </w:p>
        </w:tc>
      </w:tr>
      <w:tr>
        <w:tc>
          <w:tcPr>
            <w:tcW w:type="dxa" w:w="3120"/>
          </w:tcPr>
          <w:p>
            <w:pPr>
              <w:spacing w:after="40"/>
            </w:pPr>
            <w:r>
              <w:rPr>
                <w:b/>
              </w:rPr>
              <w:t>Network economies</w:t>
            </w:r>
            <w:r>
              <w:t xml:space="preserve"> (cross-tenant identity → one partner across many customers)</w:t>
            </w:r>
          </w:p>
        </w:tc>
        <w:tc>
          <w:tcPr>
            <w:tcW w:type="dxa" w:w="3120"/>
          </w:tcPr>
          <w:p>
            <w:pPr>
              <w:spacing w:after="40"/>
            </w:pPr>
            <w:r>
              <w:t>Phase 3 (Orchestrate)</w:t>
            </w:r>
          </w:p>
        </w:tc>
        <w:tc>
          <w:tcPr>
            <w:tcW w:type="dxa" w:w="3120"/>
          </w:tcPr>
          <w:p>
            <w:pPr>
              <w:spacing w:after="40"/>
            </w:pPr>
            <w:r>
              <w:t>Terminal; seeded day one via cross-tenant identity, but dormant until density</w:t>
            </w:r>
          </w:p>
        </w:tc>
      </w:tr>
      <w:tr>
        <w:tc>
          <w:tcPr>
            <w:tcW w:type="dxa" w:w="3120"/>
          </w:tcPr>
          <w:p>
            <w:pPr>
              <w:spacing w:after="40"/>
            </w:pPr>
            <w:r>
              <w:rPr>
                <w:b/>
              </w:rPr>
              <w:t>Cornered resource</w:t>
            </w:r>
            <w:r>
              <w:t xml:space="preserve"> (proprietary bilateral revenue/attribution graph; a passed audit; a Shariah sign-off)</w:t>
            </w:r>
          </w:p>
        </w:tc>
        <w:tc>
          <w:tcPr>
            <w:tcW w:type="dxa" w:w="3120"/>
          </w:tcPr>
          <w:p>
            <w:pPr>
              <w:spacing w:after="40"/>
            </w:pPr>
            <w:r>
              <w:t>Phase 2–3</w:t>
            </w:r>
          </w:p>
        </w:tc>
        <w:tc>
          <w:tcPr>
            <w:tcW w:type="dxa" w:w="3120"/>
          </w:tcPr>
          <w:p>
            <w:pPr>
              <w:spacing w:after="40"/>
            </w:pPr>
            <w:r>
              <w:t>Accrues only with two-sided usage over time</w:t>
            </w:r>
          </w:p>
        </w:tc>
      </w:tr>
    </w:tbl>
    <w:p/>
    <w:p>
      <w:r>
        <w:t xml:space="preserve">Read against that table, value becomes priceable at each gate as follows. The scenario arithmetic below uses the repo's own SOM figures and labeled multiple ranges; every multiple is an </w:t>
      </w:r>
      <w:r>
        <w:rPr>
          <w:b/>
        </w:rPr>
        <w:t>[assumption]</w:t>
      </w:r>
      <w:r>
        <w:t xml:space="preserve"> and every ARR figure is the repo's </w:t>
      </w:r>
      <w:r>
        <w:rPr>
          <w:b/>
        </w:rPr>
        <w:t>[illustrative]</w:t>
      </w:r>
      <w:r>
        <w:t xml:space="preserve"> scenario, not a forecast.</w:t>
      </w:r>
    </w:p>
    <w:p>
      <w:pPr>
        <w:pStyle w:val="Heading2"/>
      </w:pPr>
      <w:r>
        <w:t>2.1 Today — the Capture option (SAR 18M, priced)</w:t>
      </w:r>
    </w:p>
    <w:p>
      <w:r>
        <w:t>The priced number. Value = the premium on a credible thesis plus a disciplined team, inside a state where the buyer (Head of Partnerships) and the validator (CFO) are identified but unproven [canonical: Venture Narrative §9].</w:t>
      </w:r>
    </w:p>
    <w:p>
      <w:pPr>
        <w:pStyle w:val="Heading2"/>
      </w:pPr>
      <w:r>
        <w:t>2.2 The Capture gate — proof re-rates the entire option chain (the highest-leverage event)</w:t>
      </w:r>
    </w:p>
    <w:p>
      <w:r>
        <w:t xml:space="preserve">The Phase-1 exit gate is specific and written: an MVP processing </w:t>
      </w:r>
      <w:r>
        <w:rPr>
          <w:b/>
        </w:rPr>
        <w:t>100+ real claims</w:t>
      </w:r>
      <w:r>
        <w:t xml:space="preserve"> on messy CRM data; </w:t>
      </w:r>
      <w:r>
        <w:rPr>
          <w:b/>
        </w:rPr>
        <w:t>3–5 design partners</w:t>
      </w:r>
      <w:r>
        <w:t xml:space="preserve"> with a finance reviewer accepting an evidence pack; </w:t>
      </w:r>
      <w:r>
        <w:rPr>
          <w:b/>
        </w:rPr>
        <w:t>weekly active usage</w:t>
      </w:r>
      <w:r>
        <w:t xml:space="preserve">; time-to-first-claim </w:t>
      </w:r>
      <w:r>
        <w:rPr>
          <w:b/>
        </w:rPr>
        <w:t>&lt; ~14 days</w:t>
      </w:r>
      <w:r>
        <w:t xml:space="preserve"> [canonical: Reverse strategy; Audit §2]. Clearing it does one thing that nothing else can: it converts P(the buyer will pay for a control layer before the category exists) from an open question into a fact, and produces the first real ACV to multiply.</w:t>
      </w:r>
    </w:p>
    <w:p>
      <w:r>
        <w:t xml:space="preserve">The mechanism of the re-rate: three to five design partners at the mid-market ACV cell (SAR 150–225K [illustrative: Pricing DR §10.2]) is roughly SAR 0.5–1.1M of first ARR — small in itself, but it simultaneously retires technical, customer-pain, adoption, and commercial risk in one move [Venture Narrative §17]. What re-rates is not the SAR 1M; it is that the option on Settle and Orchestrate is now </w:t>
      </w:r>
      <w:r>
        <w:rPr>
          <w:i/>
        </w:rPr>
        <w:t>live</w:t>
      </w:r>
      <w:r>
        <w:t xml:space="preserve"> rather than hypothetical. This is why the gate, not the ARR, is the asset.</w:t>
      </w:r>
    </w:p>
    <w:p>
      <w:r>
        <w:t>External calibration, with a caveat: US B2B-SaaS benchmarks place pre-seed at $0–100K ARR, seed at a ~$500K median, and Series A at a ~$1.5–2M median, and hold that NRR of 120%+ with near-zero churn re-rates a company more than higher ARR with churn [external: Forum Ventures — single-source, US-not-GCC, verified 3-0]. Carta's US pre-seed median pre-money is ~$7.7M, ≈ SAR 29M [external: Carta, Q3 2025], above Reven's SAR 18M (≈ $4.8M) — consistent with a deliberately conservative, zero-revenue local raise, not a signal of under-pricing. These are scaling analogues; no GCC-specific ladder survived verification.</w:t>
      </w:r>
    </w:p>
    <w:p>
      <w:r>
        <w:rPr>
          <w:b/>
        </w:rPr>
        <w:t>What kills it:</w:t>
      </w:r>
      <w:r>
        <w:t xml:space="preserve"> buyers only want CRM reporting; no executive cares; partners won't commit or pay; capture friction is too high to feed Phase 2 [canonical: Reverse strategy, Phase 1 kill-criteria].</w:t>
      </w:r>
    </w:p>
    <w:p>
      <w:pPr>
        <w:pStyle w:val="Heading2"/>
      </w:pPr>
      <w:r>
        <w:t>2.3 Settle — the ledger-of-record turns switching costs and NRR into value</w:t>
      </w:r>
    </w:p>
    <w:p>
      <w:r>
        <w:t xml:space="preserve">Phase 2 builds the shared, auditable ledger two companies trust: the rule engine, an append-only double-entry ledger, bilateral reconciliation and dispute workflow, the compliance engine (ZATCA/WHT/VAT), ERP integration, and — built </w:t>
      </w:r>
      <w:r>
        <w:rPr>
          <w:i/>
        </w:rPr>
        <w:t>last</w:t>
      </w:r>
      <w:r>
        <w:t xml:space="preserve"> within the phase, or partnered to a rail — settlement [canonical: Reverse strategy, Phase 2]. Its money-movement gate is equally specific: settlement idempotent with </w:t>
      </w:r>
      <w:r>
        <w:rPr>
          <w:b/>
        </w:rPr>
        <w:t>zero double-pays</w:t>
      </w:r>
      <w:r>
        <w:t xml:space="preserve">, clean ERP reconciliation, and a CFO saying on a reference call "we trust these numbers," with an </w:t>
      </w:r>
      <w:r>
        <w:rPr>
          <w:b/>
        </w:rPr>
        <w:t>NRR signal &gt;110–120%</w:t>
      </w:r>
      <w:r>
        <w:t xml:space="preserve"> via module attach [canonical: Reverse strategy, Phase 2 exit gate].</w:t>
      </w:r>
    </w:p>
    <w:p>
      <w:r>
        <w:t>Three things become priceable here that were worth ~0 before:</w:t>
      </w:r>
    </w:p>
    <w:p>
      <w:pPr>
        <w:pStyle w:val="ListBullet"/>
      </w:pPr>
      <w:r>
        <w:rPr>
          <w:b/>
        </w:rPr>
        <w:t>Switching costs become real</w:t>
      </w:r>
      <w:r>
        <w:t xml:space="preserve"> because rip-out now loses history, evidence, and the audit trail — classic system-of-record stickiness, and "two-sided dependency is far stickier than one-sided SaaS" because the ledger sits between two companies' books [Reverse strategy, Part D]. Before Settle there is no history to lose; after it, the customer is anchored.</w:t>
      </w:r>
    </w:p>
    <w:p>
      <w:pPr>
        <w:pStyle w:val="ListBullet"/>
      </w:pPr>
      <w:r>
        <w:rPr>
          <w:b/>
        </w:rPr>
        <w:t>NRR becomes a number, not an aspiration.</w:t>
      </w:r>
      <w:r>
        <w:t xml:space="preserve"> Module attach (statements → disputes → finance evidence → ERP) is the expansion engine. The honest benchmark caution matters: 120%+ NRR is top-quartile, not typical; SMB under $25K ACV rarely clears 110% (~97%), while enterprise over $100K ACV runs ~118% [external: Pricing DR §2.3, Bessemer]. So the NRR value is real but concentrated in the mid-market-and-up cells, not the SME wedge.</w:t>
      </w:r>
    </w:p>
    <w:p>
      <w:pPr>
        <w:pStyle w:val="ListBullet"/>
      </w:pPr>
      <w:r>
        <w:rPr>
          <w:b/>
        </w:rPr>
        <w:t>The first flow monetization appears</w:t>
      </w:r>
      <w:r>
        <w:t xml:space="preserve"> — a thin per-payout fee, then a capped bps layer — but only </w:t>
      </w:r>
      <w:r>
        <w:rPr>
          <w:i/>
        </w:rPr>
        <w:t>after</w:t>
      </w:r>
      <w:r>
        <w:t xml:space="preserve"> the SoR is entrenched, and structured to avoid becoming a regulated money-transmitter [canonical: Reverse strategy, Phase 2].</w:t>
      </w:r>
    </w:p>
    <w:p>
      <w:r>
        <w:t xml:space="preserve">Illustratively: the repo's base 3-year SOM is SAR 10–20M ARR [Riyal Map §3.4]. At the repo's own "software-like 6–10× on gross-profit quality" posture for a Settle-stage business [Pricing DR §6.2, assumption], that is an order-of-magnitude band of SAR ~60–200M enterprise value — an order of magnitude above today's price, contingent entirely on the two gates above. Stated as arithmetic, not prophecy: </w:t>
      </w:r>
      <w:r>
        <w:rPr>
          <w:rFonts w:ascii="Consolas" w:hAnsi="Consolas"/>
          <w:sz w:val="19"/>
        </w:rPr>
        <w:t>SAR 10–20M ARR × 6–10× = SAR 60–200M</w:t>
      </w:r>
      <w:r>
        <w:t>, true only if module attach and CFO trust hold.</w:t>
      </w:r>
    </w:p>
    <w:p>
      <w:pPr>
        <w:pStyle w:val="Heading2"/>
      </w:pPr>
      <w:r>
        <w:t>2.4 Orchestrate — network economies, flow, and the data layer</w:t>
      </w:r>
    </w:p>
    <w:p>
      <w:r>
        <w:t xml:space="preserve">Phase 3 monetizes the money layer: basis points on settled flow, the Partner P&amp;L, forecasting, and the multi-company network on cross-tenant identity [canonical: Reverse strategy, Phase 3]. This is where the largest </w:t>
      </w:r>
      <w:r>
        <w:rPr>
          <w:i/>
        </w:rPr>
        <w:t>nominal</w:t>
      </w:r>
      <w:r>
        <w:t xml:space="preserve"> pools sit and where the sharpest valuation discipline is required (Section 4). The KSA revenue ceiling at dominant-share maturity — summing all seven capture surfaces — is SAR 0.5–1.2B/yr, roughly SAR 1–2.4B GCC-wide, and the Riyal Map is explicit that this is "the asymptote, not a forecast" [derived: Riyal Map §5]. The value that becomes priceable here (flow, data, network) is developed lever-by-lever in Section 3.</w:t>
      </w:r>
    </w:p>
    <w:p>
      <w:pPr>
        <w:pStyle w:val="Heading1"/>
      </w:pPr>
      <w:r>
        <w:t>3. The levers and layers of unpriced value, ranked by materiality</w:t>
      </w:r>
    </w:p>
    <w:p>
      <w:r>
        <w:t>Ranked by how much unpriced value each represents and how much of it is under management's control versus contingent on the outside world. The first two are the largest and the most controllable; the last is the most speculative.</w:t>
      </w:r>
    </w:p>
    <w:p>
      <w:pPr>
        <w:pStyle w:val="Heading2"/>
      </w:pPr>
      <w:r>
        <w:t>3.1 The deferred-capture reservoir — the largest pool, and it is a choice (commercial)</w:t>
      </w:r>
    </w:p>
    <w:p>
      <w:r>
        <w:t xml:space="preserve">The pricing model captures </w:t>
      </w:r>
      <w:r>
        <w:rPr>
          <w:b/>
        </w:rPr>
        <w:t>10–20% of measurable annual value</w:t>
      </w:r>
      <w:r>
        <w:t>, which it states is "far below 1%" of partner-attributed revenue — "sub-30 bps," deliberately leaving the customer a 5–10× ROI "so the renewal is obvious" and "to stay clear of 'tax on success'" [Pricing DR §10.3]. On the worked cells, a mid-market customer sees SAR 1.25M of measurable value created (leakage recovered + reconciliation hours + overpayment prevented) and pays SAR 150–225K — about SAR 1M left uncaptured, per customer, per year, by design [illustrative: Pricing DR §10.2].</w:t>
      </w:r>
    </w:p>
    <w:p>
      <w:r>
        <w:t xml:space="preserve">This is the single largest reservoir of unpriced value because it is (a) enormous relative to captured revenue, and (b) under the company's own control to tap on a schedule. The logic for leaving it is deliberate and correct for the stage: the category's most-resented model is the % take-rate ("a tax on your own success"), the CFO explicitly resists it, and refusing it early </w:t>
      </w:r>
      <w:r>
        <w:rPr>
          <w:i/>
        </w:rPr>
        <w:t>is</w:t>
      </w:r>
      <w:r>
        <w:t xml:space="preserve"> the counter-position — Gurley's "A Rake Too Far," Booking's 10% beating incumbents' 30% [Pricing DR §1.2, PCS §3]. The reservoir is not a mistake; it is stored, capturable value that the roadmap is designed to draw down later (capped bps on revenue-under-management, a Sharia-structured Ju'ala fee) once scale makes it both economic and unresented.</w:t>
      </w:r>
    </w:p>
    <w:p>
      <w:r>
        <w:rPr>
          <w:b/>
        </w:rPr>
        <w:t>The trap to avoid in valuing it:</w:t>
      </w:r>
      <w:r>
        <w:t xml:space="preserve"> the reservoir is real but must never be modeled as if it can be captured in full. The whole point is that capturing more than ~sub-30 bps forfeits the wedge. Its value is as </w:t>
      </w:r>
      <w:r>
        <w:rPr>
          <w:i/>
        </w:rPr>
        <w:t>optionality on the installed base</w:t>
      </w:r>
      <w:r>
        <w:t>, drawn slowly — not as latent ARR waiting to be switched on.</w:t>
      </w:r>
    </w:p>
    <w:p>
      <w:pPr>
        <w:pStyle w:val="Heading2"/>
      </w:pPr>
      <w:r>
        <w:t>3.2 The pricing-metric migration — re-basing the same customer onto a larger denominator (commercial)</w:t>
      </w:r>
    </w:p>
    <w:p>
      <w:r>
        <w:t xml:space="preserve">The model keeps three metrics deliberately separate: the </w:t>
      </w:r>
      <w:r>
        <w:rPr>
          <w:b/>
        </w:rPr>
        <w:t>value metric</w:t>
      </w:r>
      <w:r>
        <w:t xml:space="preserve"> (trusted partner-attributed revenue realized — the North Star), the </w:t>
      </w:r>
      <w:r>
        <w:rPr>
          <w:b/>
        </w:rPr>
        <w:t>pricing metric</w:t>
      </w:r>
      <w:r>
        <w:t xml:space="preserve"> (active transacting partners, banded × tier — what scales the invoice), and the </w:t>
      </w:r>
      <w:r>
        <w:rPr>
          <w:b/>
        </w:rPr>
        <w:t>usage/expansion metric</w:t>
      </w:r>
      <w:r>
        <w:t xml:space="preserve"> (payouts, then late-and-capped bps on revenue-under-management) [Pricing DR §1.5]. The stated expansion sequence is: more active partners → modules → compliance tier → entities/countries → payout volume → (late) capped bps on RUM → data licensing [Pricing DR §1.5].</w:t>
      </w:r>
    </w:p>
    <w:p>
      <w:r>
        <w:t xml:space="preserve">The unpriced value here is the </w:t>
      </w:r>
      <w:r>
        <w:rPr>
          <w:b/>
        </w:rPr>
        <w:t>migration right</w:t>
      </w:r>
      <w:r>
        <w:t xml:space="preserve">: the same customer relationship, priced first on partner count (ACV bounded by roughly the mid-market cell), can later be re-based onto attributed-revenue-under-management (SAR 15M SMB → SAR 400M large-enterprise flow per customer [illustrative: Pricing DR §10.2]). Re-basing the denominator from "partners" to "a fraction of flow" multiplies the per-account ceiling without acquiring a new customer. That migration is an embedded option on the installed base, and it is worth ~0 today because it is credible "only once it's the SoR (Phase 2+)" [Levers 89]. It is distinct from 3.1: the reservoir is </w:t>
      </w:r>
      <w:r>
        <w:rPr>
          <w:i/>
        </w:rPr>
        <w:t>how much</w:t>
      </w:r>
      <w:r>
        <w:t xml:space="preserve"> value is left on the table; the migration is </w:t>
      </w:r>
      <w:r>
        <w:rPr>
          <w:i/>
        </w:rPr>
        <w:t>the mechanism</w:t>
      </w:r>
      <w:r>
        <w:t xml:space="preserve"> by which it is later drawn down.</w:t>
      </w:r>
    </w:p>
    <w:p>
      <w:pPr>
        <w:pStyle w:val="Heading2"/>
      </w:pPr>
      <w:r>
        <w:t>3.3 The bilateral revenue/attribution graph and its network effect — the moat, stated honestly (network)</w:t>
      </w:r>
    </w:p>
    <w:p>
      <w:r>
        <w:t xml:space="preserve">The most defensible and least-priced asset is the </w:t>
      </w:r>
      <w:r>
        <w:rPr>
          <w:b/>
        </w:rPr>
        <w:t>proprietary bilateral revenue/attribution graph</w:t>
      </w:r>
      <w:r>
        <w:t xml:space="preserve"> — the 7 Powers "cornered resource" that "accrues only with two-sided usage over time" [Levers 138]. Its enabling primitive, cross-tenant partner identity, ships in the MVP because it is "cheap to build early, near-impossible to retrofit" [Levers 129; ADR-0003]. Its shield is neutrality: a neutral cross-company attribution/settlement authority is structurally unavailable to conflicted hyperscalers and marketplaces — the "multi-cloud Switzerland" position [Levers 139].</w:t>
      </w:r>
    </w:p>
    <w:p>
      <w:r>
        <w:t xml:space="preserve">The mechanism, and why it compounds: when both an insurer and its broker/aggregator run on the same claim ledger, the reconciliation cost </w:t>
      </w:r>
      <w:r>
        <w:rPr>
          <w:i/>
        </w:rPr>
        <w:t>between</w:t>
      </w:r>
      <w:r>
        <w:t xml:space="preserve"> them collapses because they share one source of truth — "same money, two books," one record producing both parties' correct, different statements [Levers 105, 115]. That is a real cross-side effect within a trading relationship, and it densifies across a segment as more counterparties join.</w:t>
      </w:r>
    </w:p>
    <w:p>
      <w:r>
        <w:rPr>
          <w:b/>
        </w:rPr>
        <w:t>The honest boundary — this is where a lesser analysis overclaims.</w:t>
      </w:r>
      <w:r>
        <w:t xml:space="preserve"> The strategy canon labels the network economy "the venture-scale outcome, seeded but not yet real" and, critically, the bilateral-SoR white space is "inferred from the absence of any tool occupying it," at Med–High confidence, </w:t>
      </w:r>
      <w:r>
        <w:rPr>
          <w:i/>
        </w:rPr>
        <w:t>not observed</w:t>
      </w:r>
      <w:r>
        <w:t xml:space="preserve"> [Reverse strategy §A2; Levers 144]. It is winner-take-</w:t>
      </w:r>
      <w:r>
        <w:rPr>
          <w:i/>
        </w:rPr>
        <w:t>most</w:t>
      </w:r>
      <w:r>
        <w:t xml:space="preserve"> in the canon's language, but it is not the winner-take-all dynamic of a consumer social network: the counter-thesis that "almost no great network was built by bolting a network onto a tool" is quoted in the company's own risk register [Reverse strategy §H, citing Evans 2016]. The value is real and compounding; the appropriate valuation treatment is a probability-weighted option that pays off only if cross-tenant density actually forms, not a certainty priced into the base case.</w:t>
      </w:r>
    </w:p>
    <w:p>
      <w:r>
        <w:t xml:space="preserve">External evidence sharpens this boundary rather than softening it. a16z's analysis of enterprise "data moats" finds that most apparent data network effects are really data </w:t>
      </w:r>
      <w:r>
        <w:rPr>
          <w:i/>
        </w:rPr>
        <w:t>scale</w:t>
      </w:r>
      <w:r>
        <w:t xml:space="preserve"> effects — accumulating history does not by itself create a network effect [external: a16z — verified 3-0]. The corollary for Reven: the defensible asset is not the accumulated audit data but the </w:t>
      </w:r>
      <w:r>
        <w:rPr>
          <w:i/>
        </w:rPr>
        <w:t>bilateral structure</w:t>
      </w:r>
      <w:r>
        <w:t xml:space="preserve"> (both counterparties on-platform) and ownership of the system-of-record relationship. In embedded B2B payments, the platform that owns that relationship is projected to capture on the order of eight times what a pure infrastructure enabler captures [external: Bain — directional, a split 2-1 vote; treat as direction, not a precise ratio].</w:t>
      </w:r>
    </w:p>
    <w:p>
      <w:pPr>
        <w:pStyle w:val="Heading2"/>
      </w:pPr>
      <w:r>
        <w:t>3.4 The ~100%-margin data and benchmark layer — doubly unpriced (corporate)</w:t>
      </w:r>
    </w:p>
    <w:p>
      <w:r>
        <w:t xml:space="preserve">Two independent readings converge on the same conclusion. The orchestration levers document has </w:t>
      </w:r>
      <w:r>
        <w:rPr>
          <w:b/>
        </w:rPr>
        <w:t>no lever defined for selling benchmarks or licensing data</w:t>
      </w:r>
      <w:r>
        <w:t xml:space="preserve"> — the aggregate cross-customer data asset is framed only defensively, as a moat, "never as a licensable revenue line" [Levers, §3 gap]. The pricing document, separately, describes data/benchmark licensing as "~100% GM… the highest-margin revenue line possible… a pure multiple-expander," deferred until network density exists [PCS #50]. So this layer is unpriced twice over: strategically under-developed </w:t>
      </w:r>
      <w:r>
        <w:rPr>
          <w:i/>
        </w:rPr>
        <w:t>and</w:t>
      </w:r>
      <w:r>
        <w:t xml:space="preserve"> financially the highest-quality revenue in the business.</w:t>
      </w:r>
    </w:p>
    <w:p>
      <w:r>
        <w:t xml:space="preserve">Its mechanism: once the graph holds commission-rate and program-performance data across many customers, benchmarks ("your co-sell commission runs 40 bps above the segment median") become a product neither party can build alone, at near-zero marginal cost. Its gate is the same as the network's — cross-tenant scale, i.e., Phase 3. Its distinctive property for valuation: because it is ~100% gross margin, it expands the </w:t>
      </w:r>
      <w:r>
        <w:rPr>
          <w:i/>
        </w:rPr>
        <w:t>multiple</w:t>
      </w:r>
      <w:r>
        <w:t>, not just the revenue, which is why it matters disproportionately to enterprise value relative to its ARR (Section 4 explains why margin, not headline flow, drives the multiple).</w:t>
      </w:r>
    </w:p>
    <w:p>
      <w:pPr>
        <w:pStyle w:val="Heading2"/>
      </w:pPr>
      <w:r>
        <w:t>3.5 Money velocity and working-capital release — the driver you have not priced (GDP side)</w:t>
      </w:r>
    </w:p>
    <w:p>
      <w:r>
        <w:t xml:space="preserve">This lever is the clearest case of value that is not yet priced: </w:t>
      </w:r>
      <w:r>
        <w:rPr>
          <w:b/>
        </w:rPr>
        <w:t>it exists nowhere in the corpus.</w:t>
      </w:r>
      <w:r>
        <w:t xml:space="preserve"> Both the pricing ROI model and the market-forces catalogue were checked independently; neither contains a DSO, working-capital, cash-conversion, or money-velocity driver. DSO appears only as </w:t>
      </w:r>
      <w:r>
        <w:rPr>
          <w:i/>
        </w:rPr>
        <w:t>Reven's own</w:t>
      </w:r>
      <w:r>
        <w:t xml:space="preserve"> cash constraint (net-90 to 120+ days), never as a customer benefit or a macro argument [absent: Pricing DR §10; Market-Forces PDFs]. So what follows is </w:t>
      </w:r>
      <w:r>
        <w:rPr>
          <w:b/>
        </w:rPr>
        <w:t>[proposed]</w:t>
      </w:r>
      <w:r>
        <w:t xml:space="preserve"> — grounded in mechanism, not cited from the docs.</w:t>
      </w:r>
    </w:p>
    <w:p>
      <w:r>
        <w:t>The mechanism operates at two scales:</w:t>
      </w:r>
    </w:p>
    <w:p>
      <w:pPr>
        <w:pStyle w:val="ListBullet"/>
      </w:pPr>
      <w:r>
        <w:rPr>
          <w:b/>
        </w:rPr>
        <w:t>Company-level velocity ("velocity for companies").</w:t>
      </w:r>
      <w:r>
        <w:t xml:space="preserve"> Today a partner-attributed commission settles slowly and disputed: bilateral reconciliation runs on monthly bordereaux, disputes consume executive time, and a share of partner deals is misbooked (the corpus cites "10–30% of partner payout" leaked to mis-attribution or duplication, but labels it illustrative and unaudited [Market-Forces Driver 34]; do not treat it as fact). Every day a commission sits in reconciliation limbo is working capital trapped on both balance sheets. A verified-claims ledger that compresses the reconcile-to-settle cycle releases that working capital and shortens the partner's days-to-payment — which in turn raises partner retention and partner-sourced pipeline. This is a real, chainable ROI driver (actor: the finance team; change: claims reconcile to invoice-level truth pre-settlement; outcome: DSO on commission receivables falls) that the model could instrument in a paid pilot and does not.</w:t>
      </w:r>
    </w:p>
    <w:p>
      <w:pPr>
        <w:pStyle w:val="ListBullet"/>
      </w:pPr>
      <w:r>
        <w:rPr>
          <w:b/>
        </w:rPr>
        <w:t>Economy-level velocity ("GDP side").</w:t>
      </w:r>
      <w:r>
        <w:t xml:space="preserve"> The commission pool the product governs is SAR 35–60B/yr, sitting on a flow base of SAR 500–850B/yr — roughly 0.7–1.1% and 9–16% respectively of the SAR 5,292B in total business-sector operating revenues GASTAT measured for 2023 [derived: Riyal Map §2, HIGH]. Faster, trusted settlement of that flow is money velocity in the literal sense: the same riyals turn over more times per year. Reven captures only a sliver of that externality by design (sub-30 bps), which is precisely why it is unpriced — no SaaS multiple captures a macro velocity effect, and the company does not try to.</w:t>
      </w:r>
    </w:p>
    <w:p>
      <w:r>
        <w:t xml:space="preserve">External figures quantify the </w:t>
      </w:r>
      <w:r>
        <w:rPr>
          <w:i/>
        </w:rPr>
        <w:t>mechanism</w:t>
      </w:r>
      <w:r>
        <w:t xml:space="preserve"> — with the hard caveat that they are US and global scaling analogues, not Saudi numbers. The Hackett Group's 2025 survey finds $1.7 trillion trapped in excess working capital across the top 1,000 US public non-financial companies, and names accounts receivable — the exact layer a bilateral revenue-share ledger attacks — as the largest slice at ~$600 billion, driven by an 18-day DSO gap between top and median performers [external: Hackett Group 2025 — verified 3-0; US benchmark, vendor gap-to-best methodology]. At economy scale, global payments earn ~$2.5T of revenue on ~$2.0 quadrillion of value flows — an aggregate ~12.5 bps of value moved [external: McKinsey 2025 Global Payments Report — verified 3-0]. Neither is a Saudi TAM; both size the </w:t>
      </w:r>
      <w:r>
        <w:rPr>
          <w:i/>
        </w:rPr>
        <w:t>kind</w:t>
      </w:r>
      <w:r>
        <w:t xml:space="preserve"> of value that faster, trusted settlement releases, and both confirm what the pricing model already assumes — the releasable value is large and the capturable slice of it is thin.</w:t>
      </w:r>
    </w:p>
    <w:p>
      <w:r>
        <w:t xml:space="preserve">The reason this lever matters beyond ROI: it changes </w:t>
      </w:r>
      <w:r>
        <w:rPr>
          <w:i/>
        </w:rPr>
        <w:t>who might value the company and at what multiple</w:t>
      </w:r>
      <w:r>
        <w:t>. A settlement-integrity layer that measurably speeds partner-revenue velocity is the kind of non-oil-economy infrastructure the state is trying to build under Vision 2030 (the digital economy already ~16% of GDP [external: GASTAT 2024]; ZATCA e-invoicing making previously invisible commission pools measurable [Riyal Map §6]). That is a strategic/sovereign lens, not a SaaS-comp lens — it belongs in Section 3.7's optionality, and it is entirely absent from any current valuation basis.</w:t>
      </w:r>
    </w:p>
    <w:p>
      <w:pPr>
        <w:pStyle w:val="Heading2"/>
      </w:pPr>
      <w:r>
        <w:t>3.6 The compliance timing arbitrage — a decaying option (strategy)</w:t>
      </w:r>
    </w:p>
    <w:p>
      <w:r>
        <w:t>Compliance is a moat "built into the engine, not as localization" — ZATCA clearance, the 15/5/20 WHT matrix, reverse-charge VAT, multi-entity, Arabic/RTL, Sharia-aligned revenue share — "not deployable in KSA without it, which is exactly why it's a moat once you have it" [Reverse strategy §E]. Global incumbents (impact.com, PartnerStack, Salesforce PRM) do not emit these artifacts today [Riyal Map §4, LOW confidence on permanence].</w:t>
      </w:r>
    </w:p>
    <w:p>
      <w:r>
        <w:t xml:space="preserve">The unpriced value here has a </w:t>
      </w:r>
      <w:r>
        <w:rPr>
          <w:b/>
        </w:rPr>
        <w:t>fuse</w:t>
      </w:r>
      <w:r>
        <w:t xml:space="preserve">. ZATCA Wave 24 pulls every VAT-registrant above SAR 375K into integrated e-invoicing by 30 June 2026 [external: ZATCA, HIGH], which turns compliance-native claims from a feature into an entry ticket — but the same universality means the differentiation decays: the pricing corpus expects L1 compliance to "rebundle toward table-stakes by 2026" [Pricing Executive Summary §4]. So this is a "use-it-or-lose-it" option: worth the most now, decaying as mandates become universal and incumbents retrofit. Its value is captured by </w:t>
      </w:r>
      <w:r>
        <w:rPr>
          <w:i/>
        </w:rPr>
        <w:t>speed of landing regulated logos while the window is open</w:t>
      </w:r>
      <w:r>
        <w:t>, not by holding the feature indefinitely.</w:t>
      </w:r>
    </w:p>
    <w:p>
      <w:pPr>
        <w:pStyle w:val="Heading2"/>
      </w:pPr>
      <w:r>
        <w:t>3.7 Adjacency, GCC expansion, and sovereign-M&amp;A optionality (corporate)</w:t>
      </w:r>
    </w:p>
    <w:p>
      <w:r>
        <w:t>The remaining unpriced value is a cluster of options struck on the Phase-2/3 installed base, each worth ~0 today and each realizable only if the base forms:</w:t>
      </w:r>
    </w:p>
    <w:p>
      <w:pPr>
        <w:pStyle w:val="ListBullet"/>
      </w:pPr>
      <w:r>
        <w:rPr>
          <w:b/>
        </w:rPr>
        <w:t>Adjacent capture surfaces.</w:t>
      </w:r>
      <w:r>
        <w:t xml:space="preserve"> Beyond subscription (surface A), the Riyal Map sizes six more: share-of-payouts overrides (B), bps-on-flow (C, gated on SAMA PIS ~2027+), FX on cross-border payouts (D), compliance add-ons (E), receivables financing on verified claims (F), and data/benchmarking (G) [Riyal Map §4]. Surface F is notable: once claims are audit-grade, they become </w:t>
      </w:r>
      <w:r>
        <w:rPr>
          <w:i/>
        </w:rPr>
        <w:t>financeable</w:t>
      </w:r>
      <w:r>
        <w:t>, and Reven can originate early-pay against verified commission receivables with a bank partner (0.5–1% origination) — a business that literally cannot exist before the verified-claims ledger does.</w:t>
      </w:r>
    </w:p>
    <w:p>
      <w:pPr>
        <w:pStyle w:val="ListBullet"/>
      </w:pPr>
      <w:r>
        <w:rPr>
          <w:b/>
        </w:rPr>
        <w:t>GCC expansion roughly doubles the ceiling.</w:t>
      </w:r>
      <w:r>
        <w:t xml:space="preserve"> Saudi Arabia is about half the GCC economy, so a GCC build-out lifts the KSA ceiling of SAR 0.5–1.2B to roughly SAR 1–2.4B/yr [derived: Riyal Map §5, ±0.4× uncertainty].</w:t>
      </w:r>
    </w:p>
    <w:p>
      <w:pPr>
        <w:pStyle w:val="ListBullet"/>
      </w:pPr>
      <w:r>
        <w:rPr>
          <w:b/>
        </w:rPr>
        <w:t>Strategic and sovereign M&amp;A.</w:t>
      </w:r>
      <w:r>
        <w:t xml:space="preserve"> The company's own honest exit frame is "$50–300M strategic" [Pricing DR closing]. The unpriced element is </w:t>
      </w:r>
      <w:r>
        <w:rPr>
          <w:i/>
        </w:rPr>
        <w:t>who</w:t>
      </w:r>
      <w:r>
        <w:t xml:space="preserve"> the strategic acquirer is: a neutral cross-company settlement authority is structurally unavailable to a conflicted marketplace or hyperscaler — so the scarcity value to an acquirer who cannot build it themselves (a bank, a payments network, a Vision-2030 infrastructure vehicle) is a premium no SaaS-comp multiple captures.</w:t>
      </w:r>
    </w:p>
    <w:p>
      <w:pPr>
        <w:pStyle w:val="Heading1"/>
      </w:pPr>
      <w:r>
        <w:t>4. What makes the unpriced value worth far less (the counter-case)</w:t>
      </w:r>
    </w:p>
    <w:p>
      <w:r>
        <w:t>A valuation that only stacks up the levers above is not a valuation; it is a pitch. The disciplined position is that most of this value is probability-weighted low today, and one structural fact caps the upside. Ranked by how much they compress the number:</w:t>
      </w:r>
    </w:p>
    <w:p>
      <w:r>
        <w:rPr>
          <w:b/>
        </w:rPr>
        <w:t>Build-inward risk caps the ceiling.</w:t>
      </w:r>
      <w:r>
        <w:t xml:space="preserve"> The biggest flows belong to platforms that run settlement as core IP and can build inward — Jahez, noon, Rasan [Riyal Map §5]. If every at-scale platform self-builds, the reachable ceiling compresses from SAR 0.5–1.2B toward </w:t>
      </w:r>
      <w:r>
        <w:rPr>
          <w:b/>
        </w:rPr>
        <w:t>SaaS-only ~SAR 300–500M</w:t>
      </w:r>
      <w:r>
        <w:t xml:space="preserve"> [Riyal Map §5]. This is the bear case to underwrite, and it still supports the base SOM — but it removes most of the flow-and-network optionality that makes the upstairs case exciting.</w:t>
      </w:r>
    </w:p>
    <w:p>
      <w:r>
        <w:rPr>
          <w:b/>
        </w:rPr>
        <w:t>Flow revenue does not earn the software multiple.</w:t>
      </w:r>
      <w:r>
        <w:t xml:space="preserve"> Payments/flow revenue trades at roughly </w:t>
      </w:r>
      <w:r>
        <w:rPr>
          <w:b/>
        </w:rPr>
        <w:t>4.5× revenue versus ~9–12× for SaaS-like fintech</w:t>
      </w:r>
      <w:r>
        <w:t xml:space="preserve"> [external: Pricing DR §2.2], and net take rates are tiny once pass-through is removed — Toast nets ~54 bps behind a 2.53% gross headline; BILL ~26 bps; Adyen ~15.5 bps [external: SEC filings, Pricing DR §8.2]. So the SAR 500–850B flow base is </w:t>
      </w:r>
      <w:r>
        <w:rPr>
          <w:i/>
        </w:rPr>
        <w:t>not</w:t>
      </w:r>
      <w:r>
        <w:t xml:space="preserve"> latent enterprise value at software multiples. It earns the software multiple only if it is captured as software — data, compliance, system-of-record — with the money-movement itself partnered out or run at cost. Priced as a rake, the same business is worth roughly half per unit of revenue. This single fact reprices most naive "bps × flow" arithmetic downward by ~2×. External primary sources corroborate the mechanism, not just the repo: Shopify's flow revenue (merchant solutions) is more than two-thirds of sales but runs ~40% gross margin against ~81% for subscription, and global payments-revenue growth slowed to 4% in 2024 from 12% in 2023 under yield compression [external: Bain; McKinsey 2025 — both verified 3-0]. The lower multiple is the market pricing that margin gap. Two tempting flow numbers did </w:t>
      </w:r>
      <w:r>
        <w:rPr>
          <w:i/>
        </w:rPr>
        <w:t>not</w:t>
      </w:r>
      <w:r>
        <w:t xml:space="preserve"> survive verification and should not be underwritten: a ~0.7% blended take-rate on embedded flow, and a T2D3 "~100%+ YoY" growth cadence [external — both refuted, 1-2].</w:t>
      </w:r>
    </w:p>
    <w:p>
      <w:r>
        <w:rPr>
          <w:b/>
        </w:rPr>
        <w:t>The compound gate multiplies conditional value by low probabilities.</w:t>
      </w:r>
      <w:r>
        <w:t xml:space="preserve"> Reaching the flow-and-network value requires clearing Capture (today at zero customers), then Settle's CFO-trust and idempotency gate, then SAMA licensing payment initiation (outside the company's control, ~2027+ [Riyal Map §6]). The probability of the terminal state is the product of these, and the first term is not yet demonstrated. Premature scaling — building the later layers before the gate clears — is the most-documented startup killer (Startup Genome's 74%, which the source flags as 2011, internet-specific, and correlational [external, flagged]).</w:t>
      </w:r>
    </w:p>
    <w:p>
      <w:r>
        <w:rPr>
          <w:b/>
        </w:rPr>
        <w:t>The market is finite in logos, not just riyals.</w:t>
      </w:r>
      <w:r>
        <w:t xml:space="preserve"> This is not a millions-of-SMBs market. The software SAM is SAR 150–650M/yr built on a payer universe of ~800–1,500 core program operators plus a 1,500–3,500 mid-market tail [derived: Riyal Map §3]. The insurance beachhead is ~50 logos [Riyal Map §1.2]. Even the stretch 3-year SOM (SAR 25–35M ARR) captures under a quarter of the SAM floor [Riyal Map §3.4]. The binding constraint is sales capacity against a concentrated named-account list, which makes execution — not market room — the limiter.</w:t>
      </w:r>
    </w:p>
    <w:p>
      <w:r>
        <w:rPr>
          <w:b/>
        </w:rPr>
        <w:t>Every moat is forward-looking, and some evidence is soft.</w:t>
      </w:r>
      <w:r>
        <w:t xml:space="preserve"> No moat exists today; defensibility is "roadmap-grade, not real" [Venture Narrative §10]. The network effect is "seeded but not yet real," the white space is "inferred," and the market-forces catalogue is ~84% internal to-do items rather than exogenous tailwinds (only 31 of 200 "drivers" are external market forces [Market-Forces catalogue summary]). Confidence must match evidence: the base software business is a Medium-confidence case; the flow-and-network upside is Low-confidence optionality.</w:t>
      </w:r>
    </w:p>
    <w:p>
      <w:pPr>
        <w:pStyle w:val="Heading1"/>
      </w:pPr>
      <w:r>
        <w:t>5. What to do with this — owners, actions, thresholds</w:t>
      </w:r>
    </w:p>
    <w:p>
      <w:r>
        <w:t xml:space="preserve">The analysis converges on one operating instruction: </w:t>
      </w:r>
      <w:r>
        <w:rPr>
          <w:b/>
        </w:rPr>
        <w:t>spend capital to buy the evidence that re-rates the option chain, in gate order, and refuse to price or build past the current gate.</w:t>
      </w:r>
    </w:p>
    <w:p>
      <w:pPr>
        <w:pStyle w:val="ListBullet"/>
      </w:pPr>
      <w:r>
        <w:rPr>
          <w:b/>
        </w:rPr>
        <w:t>Convert the Capture gate before anything else (owner: CEO + founding team).</w:t>
      </w:r>
      <w:r>
        <w:t xml:space="preserve"> The re-rating per riyal is highest here because this one event makes every downstream option live. Threshold to declare it cleared, verbatim from the canon: 100+ real claims on messy CRM data, 3–5 paid design partners with a finance-accepted evidence pack, weekly active usage, time-to-first-claim &lt; 14 days [canonical]. Do not begin Phase-2 build until all four are true. Kill signal: if, after 15–20 discovery interviews, the CFO pain proves </w:t>
      </w:r>
      <w:r>
        <w:rPr>
          <w:i/>
        </w:rPr>
        <w:t>tolerated</w:t>
      </w:r>
      <w:r>
        <w:t xml:space="preserve"> rather than budgeted, re-baseline before spending on Settle.</w:t>
      </w:r>
    </w:p>
    <w:p>
      <w:pPr>
        <w:pStyle w:val="ListBullet"/>
      </w:pPr>
      <w:r>
        <w:rPr>
          <w:b/>
        </w:rPr>
        <w:t>Instrument the working-capital driver in the first paid pilot (owner: CFO / Customer Success).</w:t>
      </w:r>
      <w:r>
        <w:t xml:space="preserve"> It is the one material value lever absent from the model. Measure, on the customer's own numbers, the reconcile-to-settle cycle time and DSO on commission receivables before and after. If it moves, it becomes a quantified ROI line and the seed of the GDP-side / sovereign narrative; if it does not, drop the claim rather than assert it. This is the cheapest way to convert a [proposed] lever into an evidenced one.</w:t>
      </w:r>
    </w:p>
    <w:p>
      <w:pPr>
        <w:pStyle w:val="ListBullet"/>
      </w:pPr>
      <w:r>
        <w:rPr>
          <w:b/>
        </w:rPr>
        <w:t>Price the reservoir as a schedule, not a switch (owner: CEO + pricing).</w:t>
      </w:r>
      <w:r>
        <w:t xml:space="preserve"> Keep the headline on active partners; hold the capped bps-on-RUM and data-licensing layers out of the model as dated optionality that turns on only at the Settle and Orchestrate gates respectively. Do not let a board deck imply the sub-30-bps discipline can be abandoned for the full take-rate — doing so forfeits the wedge that creates the reservoir.</w:t>
      </w:r>
    </w:p>
    <w:p>
      <w:pPr>
        <w:pStyle w:val="ListBullet"/>
      </w:pPr>
      <w:r>
        <w:rPr>
          <w:b/>
        </w:rPr>
        <w:t>Treat the compliance window as time-boxed (owner: CRO).</w:t>
      </w:r>
      <w:r>
        <w:t xml:space="preserve"> The differentiation decays as ZATCA Wave 24 (30 June 2026) makes compliance universal. The value is captured by landing regulated logos while the gap is open, not by holding the feature. Set the land target against the ~50-logo insurance beachhead first.</w:t>
      </w:r>
    </w:p>
    <w:p>
      <w:pPr>
        <w:pStyle w:val="ListBullet"/>
      </w:pPr>
      <w:r>
        <w:rPr>
          <w:b/>
        </w:rPr>
        <w:t>Underwrite the bear case explicitly (owner: board).</w:t>
      </w:r>
      <w:r>
        <w:t xml:space="preserve"> Model the SaaS-only ~SAR 300–500M ceiling as the base and the flow/network/GCC layers as separately-funded options. Fund the upside only when its trigger appears — the canon's own condition: observed NRR ≥120% and real cross-tenant density [Pricing DR closing]. Until then, the honest internal valuation is a default-alive software company with a large, gated, low-probability call option attached — which is what the SAR 18M pre-money prices, and why that price is defensible.</w:t>
      </w:r>
    </w:p>
    <w:p>
      <w:pPr>
        <w:pStyle w:val="Heading1"/>
      </w:pPr>
      <w:r>
        <w:t>What the external evidence confirms, and where it stops</w:t>
      </w:r>
    </w:p>
    <w:p>
      <w:r>
        <w:t>A commissioned external pass — five angles, 23 sources, 25 claims adversarially verified (22 confirmed, 3 refuted) — reinforces the analysis on method and mechanism and marks two gaps a reader should not paper over.</w:t>
      </w:r>
    </w:p>
    <w:p>
      <w:r>
        <w:t>Confirmed [each 3-0 unless noted]: the real-options framing is the standard method for a phase-gated company (Expectations Investing; Damodaran); flow revenue earns a lower multiple than software because of the gross-margin gap (Shopify ~40% vs ~81%; payments yield compression); audit history is a data-</w:t>
      </w:r>
      <w:r>
        <w:rPr>
          <w:i/>
        </w:rPr>
        <w:t>scale</w:t>
      </w:r>
      <w:r>
        <w:t xml:space="preserve"> effect, not automatically a network effect; the working-capital and flow pools are large but thinly capturable (Hackett $1.7T trapped, ~$600B in receivables; McKinsey ~12.5 bps aggregate); and the Saudi regulatory clock is real — ZATCA Wave 24 by 30 June 2026, SAMA open-banking licensing live 26 March 2026 with Lean Technologies as first licensee.</w:t>
      </w:r>
    </w:p>
    <w:p>
      <w:r>
        <w:t xml:space="preserve">Two limits, stated plainly. First, a </w:t>
      </w:r>
      <w:r>
        <w:rPr>
          <w:b/>
        </w:rPr>
        <w:t>geographic mismatch</w:t>
      </w:r>
      <w:r>
        <w:t xml:space="preserve">: every quantified market and benchmark that survived verification is US or global; no Vision 2030 non-oil-GDP, SME-share, or GCC market-size figure survived. The Saudi numbers in this document come from your own Riyal Map, not the external pass — the US and global figures are scaling analogues, never regional TAM. Second, a </w:t>
      </w:r>
      <w:r>
        <w:rPr>
          <w:b/>
        </w:rPr>
        <w:t>comparables gap</w:t>
      </w:r>
      <w:r>
        <w:t>: no revenue multiple for the named peers (impact.com, PartnerStack, Crossbeam, Tipalti, Bill.com, and the rest) survived verification, so the flow-versus-software discount rests on one clean anchor (Shopify) plus the margin mechanism, not a peer set. Both are open items, not settled facts.</w:t>
      </w:r>
    </w:p>
    <w:p>
      <w:pPr>
        <w:pStyle w:val="Heading1"/>
      </w:pPr>
      <w:r>
        <w:t>Uncertainty and what would change this</w:t>
      </w:r>
    </w:p>
    <w:p>
      <w:r>
        <w:t xml:space="preserve">The load-bearing uncertainty is not the size of the pools — the Riyal Map sizes them carefully with confidence tags — but the </w:t>
      </w:r>
      <w:r>
        <w:rPr>
          <w:b/>
        </w:rPr>
        <w:t>first gate</w:t>
      </w:r>
      <w:r>
        <w:t xml:space="preserve">, which is unproven, and the </w:t>
      </w:r>
      <w:r>
        <w:rPr>
          <w:b/>
        </w:rPr>
        <w:t>flow-multiple discipline</w:t>
      </w:r>
      <w:r>
        <w:t>, which caps the upside more than any market-size debate. Two findings would move the conclusion materially: a paid pilot that quantifies the working-capital release (converting Section 3.5 from proposed to evidenced, and opening the sovereign lens) would raise the floor; evidence that the largest platforms are self-building settlement (Section 4's bear case becoming actual) would compress the ceiling toward SaaS-only. Both are testable within the pre-seed runway. The external research is now folded into Sections 1–4 and the section above; it confirmed the flow-versus-software multiple gap the repo's figures established, and — usefully — produced no Saudi-specific market size, which is itself a finding: the regional TAM that would anchor a localized value-created number remains unquantified, and establishing it is the highest-value analytical task left.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the Value That Is Not Yet Priced — Partner Revenue OS (Reven)</dc:title>
  <dc:subject>Valuation analysis — value created vs value captured across the roadmap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