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2xuj1u8x9r6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src/pages/dashboard</w:t>
      </w:r>
      <w:r w:rsidDel="00000000" w:rsidR="00000000" w:rsidRPr="00000000">
        <w:rPr>
          <w:rtl w:val="0"/>
        </w:rPr>
        <w:t xml:space="preserve"> — Diwan Executive Dashboard Page Slice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cjqatyjbg93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Renders the main landing dashboard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after authentication, displaying summary metrics for incoming/outgoing/internal documents, recent correspondence activity, and quick-action shortcuts.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fji9b4tvtal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src/entities/*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DashboardPage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src/pages/dashboard/index.ts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452k5xborac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ui/DashboardPage.tsx</w:t>
      </w:r>
      <w:r w:rsidDel="00000000" w:rsidR="00000000" w:rsidRPr="00000000">
        <w:rPr>
          <w:rtl w:val="0"/>
        </w:rPr>
        <w:t xml:space="preserve"> — Composes KPI cards, quick document creation trigger, and recent registry items.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jgl2g1kirjv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dm4opa8sc0r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ysvlfp6q1ry1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pages/dashboard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