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f1roymi8itz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src/pages/login</w:t>
      </w:r>
      <w:r w:rsidDel="00000000" w:rsidR="00000000" w:rsidRPr="00000000">
        <w:rPr>
          <w:rtl w:val="0"/>
        </w:rPr>
        <w:t xml:space="preserve"> — Login Route Page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6fy5zd226se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Renders the public authentication screen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, hosting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LoginForm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src/features/auth</w:t>
      </w:r>
      <w:r w:rsidDel="00000000" w:rsidR="00000000" w:rsidRPr="00000000">
        <w:rPr>
          <w:rtl w:val="0"/>
        </w:rPr>
        <w:t xml:space="preserve"> inside a clean institutional Arabic RTL layout.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vg52xk0jo5q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src/entities/*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src/pages/login/index.ts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0qscdhv9p23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ui/LoginPage.tsx</w:t>
      </w:r>
      <w:r w:rsidDel="00000000" w:rsidR="00000000" w:rsidRPr="00000000">
        <w:rPr>
          <w:rtl w:val="0"/>
        </w:rPr>
        <w:t xml:space="preserve"> — Centered institutional branding card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hpazqp24ruy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vxnf0ohm556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ubird2cv4ug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pages/login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