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vf4yu9lbpi2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src/pages/users</w:t>
      </w:r>
      <w:r w:rsidDel="00000000" w:rsidR="00000000" w:rsidRPr="00000000">
        <w:rPr>
          <w:rtl w:val="0"/>
        </w:rPr>
        <w:t xml:space="preserve"> — Users &amp; Roles Administration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gmx6lvwt7n2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Renders the user and role administration screen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, allowing administrators to manage institutional accounts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features/user-manage</w:t>
      </w:r>
      <w:r w:rsidDel="00000000" w:rsidR="00000000" w:rsidRPr="00000000">
        <w:rPr>
          <w:rtl w:val="0"/>
        </w:rPr>
        <w:t xml:space="preserve">) and configure the permission matrix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features/role-manage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hvy3wansq7n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src/entities/*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UsersPage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src/pages/users/index.ts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6cvpwxs708y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ui/UsersPage.tsx</w:t>
      </w:r>
      <w:r w:rsidDel="00000000" w:rsidR="00000000" w:rsidRPr="00000000">
        <w:rPr>
          <w:rtl w:val="0"/>
        </w:rPr>
        <w:t xml:space="preserve"> — Tabbed administration interface for Users list and Roles &amp; Permissions matrix.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t5lbl9bpben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4yutxtk9gy6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0s5owgo8ngw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pages/users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