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 Comprehensive Measure of Well-Being</w:t>
      </w:r>
    </w:p>
    <w:p>
      <w:pPr>
        <w:pStyle w:val="Subtitle"/>
      </w:pPr>
      <w:r>
        <w:t xml:space="preserve">Beyond GDP: A Multidimensional Framework for Assessing Quality of Life</w:t>
      </w:r>
    </w:p>
    <w:p>
      <w:pPr>
        <w:pStyle w:val="Heading1"/>
      </w:pPr>
      <w:r>
        <w:t xml:space="preserve">1. Introduction</w:t>
      </w:r>
    </w:p>
    <w:p>
      <w:pPr>
        <w:spacing w:after="200" w:line="276"/>
      </w:pPr>
      <w:r>
        <w:t xml:space="preserve">For decades, economic output, most commonly Gross Domestic Product (GDP), has served as the dominant proxy for national progress and individual prosperity. Yet GDP measures only the volume of goods and services produced; it says nothing about how that production is distributed, how people feel about their lives, or whether the conditions that sustain a good life, including health, safety, education, and community, are actually present. A Comprehensive Measure of Well-Being addresses this gap by evaluating quality of life across multiple interdependent dimensions rather than through a single financial metric.</w:t>
      </w:r>
    </w:p>
    <w:p>
      <w:pPr>
        <w:spacing w:after="200" w:line="276"/>
      </w:pPr>
      <w:r>
        <w:t xml:space="preserve">This report defines the concept of comprehensive well-being, outlines the core dimensions that constitute it, reviews methodological approaches used to measure it, and discusses its practical applications for policymakers, researchers, healthcare professionals, and organizations. It concludes with a discussion of the framework's value for building healthier, more resilient, and more inclusive societies.</w:t>
      </w:r>
    </w:p>
    <w:p>
      <w:pPr>
        <w:pStyle w:val="Heading1"/>
      </w:pPr>
      <w:r>
        <w:t xml:space="preserve">2. Why Move Beyond Economic Indicators?</w:t>
      </w:r>
    </w:p>
    <w:p>
      <w:pPr>
        <w:spacing w:after="200" w:line="276"/>
      </w:pPr>
      <w:r>
        <w:t xml:space="preserve">Income and GDP remain useful, but they are incomplete. Two countries with identical per-capita income can differ enormously in life expectancy, educational attainment, or reported happiness. Economic growth can also mask rising inequality, environmental degradation, or social fragmentation, problems that conventional indicators are not designed to detect. A comprehensive well-being framework corrects this by integrating both objective conditions (such as health statistics or crime rates) and subjective experiences (such as self-reported life satisfaction), producing a fuller and more accurate picture of how individuals and communities are actually faring.</w:t>
      </w:r>
    </w:p>
    <w:p>
      <w:pPr>
        <w:pStyle w:val="Heading1"/>
      </w:pPr>
      <w:r>
        <w:t xml:space="preserve">3. Core Dimensions of Well-Being</w:t>
      </w:r>
    </w:p>
    <w:p>
      <w:pPr>
        <w:spacing w:after="200" w:line="276"/>
      </w:pPr>
      <w:r>
        <w:t xml:space="preserve">Comprehensive well-being is typically organized into a set of interrelated dimensions. The table below summarizes nine commonly used dimensions, along with representative indicators used to measure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Dimension</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Description</w:t>
            </w:r>
          </w:p>
        </w:tc>
        <w:tc>
          <w:tcPr>
            <w:tcW w:type="dxa" w:w="35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b/>
                <w:bCs/>
                <w:color w:val="FFFFFF"/>
              </w:rPr>
              <w:t xml:space="preserve">Representative Indicators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Physical Health</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Bodily condition, longevity, and absence of illness.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Life expectancy, self-rated health, disability rates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Mental Health</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Psychological functioning and emotional resilience.</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Depression/anxiety prevalence, stress levels, access to care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Education</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Knowledge, skills, and lifelong learning opportunities.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Literacy rate, years of schooling, school enrollment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Financial Stability</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Economic security and capacity to meet needs.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Household income, savings rate, debt burden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Employment</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Access to meaningful, fairly compensated work.</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Unemployment rate, job satisfaction, underemployment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Social Relationships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Quality and breadth of personal connections.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Social support networks, loneliness index, civic participation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Environmental Quality</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Condition of the physical surroundings.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Air/water quality, green space access, exposure to pollution</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Personal Safety</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Freedom from violence, crime, and hazards.</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Crime rates, perceived safety, workplace injury rates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Life Satisfaction</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Subjective evaluation of one's life as a whole.</w:t>
            </w:r>
          </w:p>
        </w:tc>
        <w:tc>
          <w:tcPr>
            <w:tcW w:type="dxa" w:w="35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t xml:space="preserve">Self-reported happiness, Cantril ladder scores, sense of purpose</w:t>
            </w:r>
          </w:p>
        </w:tc>
      </w:tr>
    </w:tbl>
    <w:p>
      <w:pPr>
        <w:spacing w:before="200"/>
      </w:pPr>
    </w:p>
    <w:p>
      <w:pPr>
        <w:spacing w:after="200" w:line="276"/>
      </w:pPr>
      <w:r>
        <w:t xml:space="preserve">These dimensions are not independent silos; they interact continuously. Financial instability often undermines mental health; poor environmental quality contributes to physical illness; weak social relationships are associated with lower life satisfaction even when material needs are met. Recognizing these interactions is central to interpreting well-being data meaningfully.</w:t>
      </w:r>
    </w:p>
    <w:p>
      <w:pPr>
        <w:pStyle w:val="Heading1"/>
      </w:pPr>
      <w:r>
        <w:t xml:space="preserve">4. Measurement Approaches</w:t>
      </w:r>
    </w:p>
    <w:p>
      <w:pPr>
        <w:pStyle w:val="Heading2"/>
      </w:pPr>
      <w:r>
        <w:t xml:space="preserve">4.1 Objective Indicators</w:t>
      </w:r>
    </w:p>
    <w:p>
      <w:pPr>
        <w:spacing w:after="200" w:line="276"/>
      </w:pPr>
      <w:r>
        <w:t xml:space="preserve">Objective indicators rely on externally verifiable data, such as government statistics, health records, or administrative datasets. Examples include life expectancy, unemployment rate, crime statistics, and years of schooling completed. These indicators are valuable because they are comparable across time and population groups and are less susceptible to reporting bias.</w:t>
      </w:r>
    </w:p>
    <w:p>
      <w:pPr>
        <w:pStyle w:val="Heading2"/>
      </w:pPr>
      <w:r>
        <w:t xml:space="preserve">4.2 Subjective Indicators</w:t>
      </w:r>
    </w:p>
    <w:p>
      <w:pPr>
        <w:spacing w:after="200" w:line="276"/>
      </w:pPr>
      <w:r>
        <w:t xml:space="preserve">Subjective indicators capture how individuals personally evaluate their own circumstances, typically gathered through surveys. Common tools include the Cantril Self-Anchoring Ladder, which asks respondents to rate their life on a scale from worst to best possible life, and standardized scales measuring positive and negative affect, stress, and sense of purpose. Subjective measures reveal experiences that objective statistics can miss, such as a person who is materially secure but socially isolated.</w:t>
      </w:r>
    </w:p>
    <w:p>
      <w:pPr>
        <w:pStyle w:val="Heading2"/>
      </w:pPr>
      <w:r>
        <w:t xml:space="preserve">4.3 Composite Indices</w:t>
      </w:r>
    </w:p>
    <w:p>
      <w:pPr>
        <w:spacing w:after="200" w:line="276"/>
      </w:pPr>
      <w:r>
        <w:t xml:space="preserve">Many well-being frameworks combine multiple dimensions into a single composite index to enable comparison across regions or over time. Well-known examples include the OECD Better Life Index, the UN Human Development Index, and Bhutan's Gross National Happiness Index. Composite indices simplify communication but require careful methodological choices about which dimensions to include and how to weight them, since these choices significantly influence the resulting rankings.</w:t>
      </w:r>
    </w:p>
    <w:p>
      <w:pPr>
        <w:pStyle w:val="Heading1"/>
      </w:pPr>
      <w:r>
        <w:t xml:space="preserve">5. Applications</w:t>
      </w:r>
    </w:p>
    <w:p>
      <w:pPr>
        <w:spacing w:after="200" w:line="276"/>
      </w:pPr>
      <w:r>
        <w:t xml:space="preserve">A comprehensive well-being framework has practical value across multiple sectors.</w:t>
      </w:r>
    </w:p>
    <w:p>
      <w:pPr>
        <w:pStyle w:val="ListParagraph"/>
        <w:numPr>
          <w:ilvl w:val="0"/>
          <w:numId w:val="2"/>
        </w:numPr>
        <w:spacing w:after="100"/>
      </w:pPr>
      <w:r>
        <w:t xml:space="preserve">Policymaking: Governments can identify which dimensions of well-being are lagging in specific regions and target resources accordingly, rather than relying solely on aggregate economic growth.</w:t>
      </w:r>
    </w:p>
    <w:p>
      <w:pPr>
        <w:pStyle w:val="ListParagraph"/>
        <w:numPr>
          <w:ilvl w:val="0"/>
          <w:numId w:val="2"/>
        </w:numPr>
        <w:spacing w:after="100"/>
      </w:pPr>
      <w:r>
        <w:t xml:space="preserve">Healthcare: Clinicians and public health agencies can use well-being data to address social determinants of health, such as housing instability or social isolation, alongside clinical treatment.</w:t>
      </w:r>
    </w:p>
    <w:p>
      <w:pPr>
        <w:pStyle w:val="ListParagraph"/>
        <w:numPr>
          <w:ilvl w:val="0"/>
          <w:numId w:val="2"/>
        </w:numPr>
        <w:spacing w:after="100"/>
      </w:pPr>
      <w:r>
        <w:t xml:space="preserve">Organizational management: Employers can use well-being metrics to design workplace policies that support employee mental health, work-life balance, and job satisfaction.</w:t>
      </w:r>
    </w:p>
    <w:p>
      <w:pPr>
        <w:pStyle w:val="ListParagraph"/>
        <w:numPr>
          <w:ilvl w:val="0"/>
          <w:numId w:val="2"/>
        </w:numPr>
        <w:spacing w:after="100"/>
      </w:pPr>
      <w:r>
        <w:t xml:space="preserve">Urban and environmental planning: City planners can incorporate environmental quality and safety indicators into infrastructure and zoning decisions.</w:t>
      </w:r>
    </w:p>
    <w:p>
      <w:pPr>
        <w:pStyle w:val="ListParagraph"/>
        <w:numPr>
          <w:ilvl w:val="0"/>
          <w:numId w:val="2"/>
        </w:numPr>
        <w:spacing w:after="100"/>
      </w:pPr>
      <w:r>
        <w:t xml:space="preserve">Research: Academics can use longitudinal well-being data to study the causes and consequences of inequality, social cohesion, and resilience over time.</w:t>
      </w:r>
    </w:p>
    <w:p>
      <w:pPr>
        <w:pStyle w:val="Heading1"/>
      </w:pPr>
      <w:r>
        <w:t xml:space="preserve">6. Challenges and Limitations</w:t>
      </w:r>
    </w:p>
    <w:p>
      <w:pPr>
        <w:spacing w:after="200" w:line="276"/>
      </w:pPr>
      <w:r>
        <w:t xml:space="preserve">Despite its strengths, comprehensive well-being measurement faces several challenges. Combining diverse indicators into a single score requires subjective weighting decisions that can be contested. Subjective measures may be influenced by cultural norms around expressing satisfaction, complicating cross-country comparisons. Data collection across all nine dimensions is also resource-intensive, and many countries, particularly low-income ones, lack the infrastructure to gather comprehensive data consistently. Finally, well-being frameworks must guard against becoming so broad that they lose analytical precision; clear definitions and transparent methodology are essential to maintain credibility.</w:t>
      </w:r>
    </w:p>
    <w:p>
      <w:pPr>
        <w:pStyle w:val="Heading1"/>
      </w:pPr>
      <w:r>
        <w:t xml:space="preserve">7. Conclusion</w:t>
      </w:r>
    </w:p>
    <w:p>
      <w:pPr>
        <w:spacing w:after="200" w:line="276"/>
      </w:pPr>
      <w:r>
        <w:t xml:space="preserve">A Comprehensive Measure of Well-Being offers a more complete and human-centered alternative to economic indicators alone. By integrating physical and mental health, education, financial stability, employment, social relationships, environmental quality, personal safety, and life satisfaction, this framework reveals both hidden challenges and overlooked strengths within communities. For policymakers, researchers, healthcare professionals, and organizations, it provides a foundation for more informed decision-making, more equitable resource allocation, and more effective interventions. Ultimately, adopting comprehensive well-being measurement supports the broader goal of building healthier, happier, and more resilient societies where individuals have a genuine opportunity to thrive.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Comprehensive Measure of Well-Being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597"/>
      <w:sz w:val="26"/>
      <w:szCs w:val="26"/>
    </w:rPr>
  </w:style>
  <w:style w:type="paragraph" w:styleId="Title">
    <w:name w:val="Title"/>
    <w:basedOn w:val="Normal"/>
    <w:next w:val="Normal"/>
    <w:qFormat/>
    <w:pPr>
      <w:spacing w:after="120"/>
      <w:jc w:val="center"/>
    </w:pPr>
    <w:rPr>
      <w:rFonts w:ascii="Arial" w:cs="Arial" w:eastAsia="Arial" w:hAnsi="Arial"/>
      <w:b/>
      <w:bCs/>
      <w:color w:val="1F3864"/>
      <w:sz w:val="44"/>
      <w:szCs w:val="44"/>
    </w:rPr>
  </w:style>
  <w:style w:type="paragraph" w:styleId="Subtitle">
    <w:name w:val="Subtitle"/>
    <w:basedOn w:val="Normal"/>
    <w:next w:val="Normal"/>
    <w:qFormat/>
    <w:pPr>
      <w:spacing w:after="480"/>
      <w:jc w:val="center"/>
    </w:pPr>
    <w:rPr>
      <w:rFonts w:ascii="Arial" w:cs="Arial" w:eastAsia="Arial" w:hAnsi="Arial"/>
      <w:i/>
      <w:i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2026-06-30T03:59:35.440Z</dcterms:created>
  <dcterms:modified xsi:type="dcterms:W3CDTF">2026-06-30T03:59:35.440Z</dcterms:modified>
</cp:coreProperties>
</file>

<file path=docProps/custom.xml><?xml version="1.0" encoding="utf-8"?>
<Properties xmlns="http://schemas.openxmlformats.org/officeDocument/2006/custom-properties" xmlns:vt="http://schemas.openxmlformats.org/officeDocument/2006/docPropsVTypes"/>
</file>