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learning areas include Python programming, databases and SQL, statistical modelling, machine learning, computational intelligence, visual analytics,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spacing w:before="0" w:after="60" w:line="240" w:lineRule="auto"/>
      </w:pPr>
      <w:r>
        <w:rPr>
          <w:rFonts w:ascii="Calibri" w:hAnsi="Calibri"/>
          <w:b w:val="0"/>
          <w:sz w:val="21"/>
        </w:rPr>
        <w:t>Real-Time Customer Insight and Churn Intelligence Platform</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Streamlit customer analytics dashboard using synthetic interaction data to score churn risk and prioritise retention actions.</w:t>
      </w:r>
    </w:p>
    <w:p>
      <w:pPr>
        <w:pStyle w:val="ListBullet"/>
        <w:spacing w:after="40" w:line="240" w:lineRule="auto"/>
      </w:pPr>
      <w:r>
        <w:rPr>
          <w:rFonts w:ascii="Calibri" w:hAnsi="Calibri"/>
          <w:b w:val="0"/>
          <w:sz w:val="20"/>
        </w:rPr>
        <w:t>Created reproducible data-generation and sample-output scripts for 300 synthetic customers.</w:t>
      </w:r>
    </w:p>
    <w:p>
      <w:pPr>
        <w:pStyle w:val="ListBullet"/>
        <w:spacing w:after="40" w:line="240" w:lineRule="auto"/>
      </w:pPr>
      <w:r>
        <w:rPr>
          <w:rFonts w:ascii="Calibri" w:hAnsi="Calibri"/>
          <w:b w:val="0"/>
          <w:sz w:val="20"/>
        </w:rPr>
        <w:t>Engineered interpretable risk scoring using support tickets, sentiment, usage, login recency, spend, tenure and NPS-style signals.</w:t>
      </w:r>
    </w:p>
    <w:p>
      <w:pPr>
        <w:pStyle w:val="ListBullet"/>
        <w:spacing w:after="40" w:line="240" w:lineRule="auto"/>
      </w:pPr>
      <w:r>
        <w:rPr>
          <w:rFonts w:ascii="Calibri" w:hAnsi="Calibri"/>
          <w:b w:val="0"/>
          <w:sz w:val="20"/>
        </w:rPr>
        <w:t>Added segmentation, retention recommendations, sample metrics and Handshake showcase submission material.</w:t>
      </w:r>
    </w:p>
    <w:p>
      <w:pPr>
        <w:pStyle w:val="ListBullet"/>
        <w:spacing w:after="40" w:line="240" w:lineRule="auto"/>
      </w:pPr>
      <w:r>
        <w:rPr>
          <w:rFonts w:ascii="Calibri" w:hAnsi="Calibri"/>
          <w:b w:val="0"/>
          <w:sz w:val="20"/>
        </w:rPr>
        <w:t>GitHub repository: https://github.com/MohammedSiddique8998/real-time-customer-insight-churn-platform</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Intelligent Visual Classification Pipeline</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Developed a reproducible PyTorch training and evaluation pipeline with a custom CNN and DenseNet121 feature extraction/fine-tuning options.</w:t>
      </w:r>
    </w:p>
    <w:p>
      <w:pPr>
        <w:pStyle w:val="ListBullet"/>
        <w:spacing w:after="40" w:line="240" w:lineRule="auto"/>
      </w:pPr>
      <w:r>
        <w:rPr>
          <w:rFonts w:ascii="Calibri" w:hAnsi="Calibri"/>
          <w:b w:val="0"/>
          <w:sz w:val="20"/>
        </w:rPr>
        <w:t>Documented seed, batch size, image size, split assumptions, preprocessing, augmentation, class imbalance handling and model selection rules.</w:t>
      </w:r>
    </w:p>
    <w:p>
      <w:pPr>
        <w:pStyle w:val="ListBullet"/>
        <w:spacing w:after="40" w:line="240" w:lineRule="auto"/>
      </w:pPr>
      <w:r>
        <w:rPr>
          <w:rFonts w:ascii="Calibri" w:hAnsi="Calibri"/>
          <w:b w:val="0"/>
          <w:sz w:val="20"/>
        </w:rPr>
        <w:t>Added imbalance-aware evaluation outputs including balanced accuracy, macro precision/recall/F1, weighted F1, class-wise reporting and normalised confusion matrix generation.</w:t>
      </w:r>
    </w:p>
    <w:p>
      <w:pPr>
        <w:pStyle w:val="ListBullet"/>
        <w:spacing w:after="40" w:line="240" w:lineRule="auto"/>
      </w:pPr>
      <w:r>
        <w:rPr>
          <w:rFonts w:ascii="Calibri" w:hAnsi="Calibri"/>
          <w:b w:val="0"/>
          <w:sz w:val="20"/>
        </w:rPr>
        <w:t>Corrected the public repository to remove unsupported historical result claims; metrics are intended to be regenerated locally using a permitted dataset and current code.</w:t>
      </w:r>
    </w:p>
    <w:p>
      <w:pPr>
        <w:pStyle w:val="ListBullet"/>
        <w:spacing w:after="40" w:line="240" w:lineRule="auto"/>
      </w:pPr>
      <w:r>
        <w:rPr>
          <w:rFonts w:ascii="Calibri" w:hAnsi="Calibri"/>
          <w:b w:val="0"/>
          <w:sz w:val="20"/>
        </w:rPr>
        <w:t>GitHub repository: https://github.com/MohammedSiddique8998/intelligent-visual-classification-pipeline</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spacing w:before="0" w:after="60" w:line="240" w:lineRule="auto"/>
      </w:pPr>
      <w:r>
        <w:rPr>
          <w:rFonts w:ascii="Calibri" w:hAnsi="Calibri"/>
          <w:b w:val="0"/>
          <w:sz w:val="21"/>
        </w:rPr>
        <w:t>Adaptive Decision Optimization Engine</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 NumPy-based reinforcement learning simulation for stationary Gaussian n-armed bandits across 5-arm, 10-arm and 20-arm settings.</w:t>
      </w:r>
    </w:p>
    <w:p>
      <w:pPr>
        <w:pStyle w:val="ListBullet"/>
        <w:spacing w:after="40" w:line="240" w:lineRule="auto"/>
      </w:pPr>
      <w:r>
        <w:rPr>
          <w:rFonts w:ascii="Calibri" w:hAnsi="Calibri"/>
          <w:b w:val="0"/>
          <w:sz w:val="20"/>
        </w:rPr>
        <w:t>Compared random, greedy, epsilon-greedy and Upper Confidence Bound policies to analyse exploration-exploitation trade-offs.</w:t>
      </w:r>
    </w:p>
    <w:p>
      <w:pPr>
        <w:pStyle w:val="ListBullet"/>
        <w:spacing w:after="40" w:line="240" w:lineRule="auto"/>
      </w:pPr>
      <w:r>
        <w:rPr>
          <w:rFonts w:ascii="Calibri" w:hAnsi="Calibri"/>
          <w:b w:val="0"/>
          <w:sz w:val="20"/>
        </w:rPr>
        <w:t>Generated reproducible average-reward and optimal-action-rate plots from current code using 500 runs and 1,000 steps per experiment setting.</w:t>
      </w:r>
    </w:p>
    <w:p>
      <w:pPr>
        <w:pStyle w:val="ListBullet"/>
        <w:spacing w:after="40" w:line="240" w:lineRule="auto"/>
      </w:pPr>
      <w:r>
        <w:rPr>
          <w:rFonts w:ascii="Calibri" w:hAnsi="Calibri"/>
          <w:b w:val="0"/>
          <w:sz w:val="20"/>
        </w:rPr>
        <w:t>Summarised final-window policy performance, with UCB c=2 producing the strongest average reward in the generated experiments.</w:t>
      </w:r>
    </w:p>
    <w:p>
      <w:pPr>
        <w:pStyle w:val="ListBullet"/>
        <w:spacing w:after="40" w:line="240" w:lineRule="auto"/>
      </w:pPr>
      <w:r>
        <w:rPr>
          <w:rFonts w:ascii="Calibri" w:hAnsi="Calibri"/>
          <w:b w:val="0"/>
          <w:sz w:val="20"/>
        </w:rPr>
        <w:t>GitHub repository: https://github.com/MohammedSiddique8998/adaptive-decision-optimization-engine</w:t>
      </w:r>
    </w:p>
    <w:p>
      <w:pPr>
        <w:spacing w:before="0" w:after="60" w:line="240" w:lineRule="auto"/>
      </w:pPr>
      <w:r>
        <w:rPr>
          <w:rFonts w:ascii="Calibri" w:hAnsi="Calibri"/>
          <w:b w:val="0"/>
          <w:sz w:val="21"/>
        </w:rPr>
        <w:t>Customer Feedback Theme Discovery</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public-safe unsupervised text clustering project using sentence preprocessing, TF-IDF vectorisation, K-Means clustering and PCA visualisation.</w:t>
      </w:r>
    </w:p>
    <w:p>
      <w:pPr>
        <w:pStyle w:val="ListBullet"/>
        <w:spacing w:after="40" w:line="240" w:lineRule="auto"/>
      </w:pPr>
      <w:r>
        <w:rPr>
          <w:rFonts w:ascii="Calibri" w:hAnsi="Calibri"/>
          <w:b w:val="0"/>
          <w:sz w:val="20"/>
        </w:rPr>
        <w:t>Created a reproducible demo corpus and generated current results from code, including selected K=4, silhouette score of 0.2111 and balanced 10-document clusters.</w:t>
      </w:r>
    </w:p>
    <w:p>
      <w:pPr>
        <w:pStyle w:val="ListBullet"/>
        <w:spacing w:after="40" w:line="240" w:lineRule="auto"/>
      </w:pPr>
      <w:r>
        <w:rPr>
          <w:rFonts w:ascii="Calibri" w:hAnsi="Calibri"/>
          <w:b w:val="0"/>
          <w:sz w:val="20"/>
        </w:rPr>
        <w:t>Interpreted clusters using top TF-IDF terms across data analytics, healthcare, energy/sustainability and career/portfolio themes.</w:t>
      </w:r>
    </w:p>
    <w:p>
      <w:pPr>
        <w:pStyle w:val="ListBullet"/>
        <w:spacing w:after="40" w:line="240" w:lineRule="auto"/>
      </w:pPr>
      <w:r>
        <w:rPr>
          <w:rFonts w:ascii="Calibri" w:hAnsi="Calibri"/>
          <w:b w:val="0"/>
          <w:sz w:val="20"/>
        </w:rPr>
        <w:t>Documented dataset limitations and provided instructions for replacing the demo corpus with a permitted local TSV dataset.</w:t>
      </w:r>
    </w:p>
    <w:p>
      <w:pPr>
        <w:pStyle w:val="ListBullet"/>
        <w:spacing w:after="40" w:line="240" w:lineRule="auto"/>
      </w:pPr>
      <w:r>
        <w:rPr>
          <w:rFonts w:ascii="Calibri" w:hAnsi="Calibri"/>
          <w:b w:val="0"/>
          <w:sz w:val="20"/>
        </w:rPr>
        <w:t>GitHub repository: https://github.com/MohammedSiddique8998/customer-feedback-theme-discovery</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form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
  <cp:lastModifiedBy>Mohammed Siddique</cp:lastModifiedBy>
  <cp:revision>1</cp:revision>
  <dcterms:created xsi:type="dcterms:W3CDTF">2013-12-23T23:15:00Z</dcterms:created>
  <dcterms:modified xsi:type="dcterms:W3CDTF">2013-12-23T23:15:00Z</dcterms:modified>
  <cp:category/>
</cp:coreProperties>
</file>