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impeller diameters.</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t xml:space="preserve">This function is mathematically equivalent to the hyperbolic tangent function (tanh) but offers some computational advantages. The GA will consider both sigmoid and tansig during optimization and select the one that yields better performance for your specific dataset and problem.</w:t>
      </w:r>
    </w:p>
    <w:p>
      <w:pPr>
        <w:pStyle w:val="BodyText"/>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Here’s a breakdown of the GA implementation based on common practices: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t xml:space="preserve">Absolutely, I can analyze the provided MATLAB code for optimizing NN hyperparameters with a genetic algorithm. Here’s a breakdown of each function and its components:</w:t>
      </w:r>
    </w:p>
    <w:p>
      <w:pPr>
        <w:pStyle w:val="BodyText"/>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 It’s likely not provided in the code you shared, but here’s what it might do:</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 (This might be a modification to the original code for potentially better performance based on the comments)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likely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2024-04-30T19:57:17Z</dcterms:created>
  <dcterms:modified xsi:type="dcterms:W3CDTF">2024-04-30T19:57:17Z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