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02" w:type="dxa"/>
        <w:jc w:val="right"/>
        <w:tblInd w:w="0" w:type="dxa"/>
        <w:tblCellMar>
          <w:top w:w="0" w:type="dxa"/>
          <w:left w:w="108" w:type="dxa"/>
          <w:bottom w:w="0" w:type="dxa"/>
          <w:right w:w="108" w:type="dxa"/>
        </w:tblCellMar>
        <w:tblLook w:noVBand="1" w:val="04a0" w:noHBand="0" w:lastColumn="0" w:firstColumn="1" w:lastRow="0" w:firstRow="1"/>
      </w:tblPr>
      <w:tblGrid>
        <w:gridCol w:w="7529"/>
        <w:gridCol w:w="7673"/>
      </w:tblGrid>
      <w:tr>
        <w:trPr>
          <w:trHeight w:val="2974" w:hRule="atLeast"/>
        </w:trPr>
        <w:tc>
          <w:tcPr>
            <w:tcW w:w="7529" w:type="dxa"/>
            <w:tcBorders>
              <w:top w:val="nil"/>
              <w:left w:val="nil"/>
              <w:bottom w:val="nil"/>
              <w:right w:val="nil"/>
              <w:insideH w:val="nil"/>
              <w:insideV w:val="nil"/>
            </w:tcBorders>
            <w:shd w:fill="auto" w:val="clear"/>
            <w:vAlign w:val="center"/>
          </w:tcPr>
          <w:p>
            <w:pPr>
              <w:pStyle w:val="Normal"/>
              <w:spacing w:lineRule="auto" w:line="240" w:before="120" w:after="0"/>
              <w:jc w:val="center"/>
              <w:rPr>
                <w:b/>
                <w:b/>
                <w:bCs/>
                <w:sz w:val="36"/>
                <w:szCs w:val="36"/>
                <w:lang w:val="en-GB"/>
              </w:rPr>
            </w:pPr>
            <w:r>
              <w:rPr>
                <w:b/>
                <w:bCs/>
                <w:sz w:val="36"/>
                <w:szCs w:val="36"/>
                <w:lang w:val="en-GB"/>
              </w:rPr>
              <w:t>Privatization  law</w:t>
            </w:r>
          </w:p>
        </w:tc>
        <w:tc>
          <w:tcPr>
            <w:tcW w:w="7673" w:type="dxa"/>
            <w:tcBorders>
              <w:top w:val="nil"/>
              <w:left w:val="nil"/>
              <w:bottom w:val="nil"/>
              <w:right w:val="nil"/>
              <w:insideH w:val="nil"/>
              <w:insideV w:val="nil"/>
            </w:tcBorders>
            <w:shd w:fill="auto" w:val="clear"/>
            <w:vAlign w:val="center"/>
          </w:tcPr>
          <w:p>
            <w:pPr>
              <w:pStyle w:val="Titltels"/>
              <w:bidi w:val="1"/>
              <w:spacing w:lineRule="auto" w:line="240" w:before="120" w:after="0"/>
              <w:jc w:val="center"/>
              <w:rPr>
                <w:sz w:val="36"/>
                <w:szCs w:val="36"/>
                <w:lang w:bidi="ar-BH"/>
              </w:rPr>
            </w:pPr>
            <w:r>
              <w:rPr>
                <w:sz w:val="36"/>
                <w:sz w:val="36"/>
                <w:szCs w:val="36"/>
                <w:rtl w:val="true"/>
                <w:lang w:bidi="ar-BH"/>
              </w:rPr>
              <w:t xml:space="preserve">قانون </w:t>
            </w:r>
            <w:r>
              <w:rPr>
                <w:rtl w:val="true"/>
              </w:rPr>
              <w:t xml:space="preserve"> </w:t>
            </w:r>
            <w:r>
              <w:rPr>
                <w:sz w:val="36"/>
                <w:sz w:val="36"/>
                <w:szCs w:val="36"/>
                <w:rtl w:val="true"/>
                <w:lang w:bidi="ar-BH"/>
              </w:rPr>
              <w:t>سياسات وضوابط الخصخصة</w:t>
            </w:r>
          </w:p>
        </w:tc>
      </w:tr>
    </w:tbl>
    <w:p>
      <w:pPr>
        <w:pStyle w:val="Normal"/>
        <w:jc w:val="center"/>
        <w:rPr/>
      </w:pPr>
      <w:r>
        <w:rPr/>
        <w:t xml:space="preserve"> </w:t>
      </w:r>
      <w:r>
        <w:br w:type="page"/>
      </w:r>
    </w:p>
    <w:tbl>
      <w:tblPr>
        <w:tblStyle w:val="TableGrid"/>
        <w:tblW w:w="15404" w:type="dxa"/>
        <w:jc w:val="left"/>
        <w:tblInd w:w="0" w:type="dxa"/>
        <w:tblCellMar>
          <w:top w:w="0" w:type="dxa"/>
          <w:left w:w="113" w:type="dxa"/>
          <w:bottom w:w="0" w:type="dxa"/>
          <w:right w:w="108" w:type="dxa"/>
        </w:tblCellMar>
        <w:tblLook w:noVBand="1" w:val="04a0" w:noHBand="0" w:lastColumn="0" w:firstColumn="1" w:lastRow="0" w:firstRow="1"/>
      </w:tblPr>
      <w:tblGrid>
        <w:gridCol w:w="7702"/>
        <w:gridCol w:w="7701"/>
      </w:tblGrid>
      <w:tr>
        <w:trPr>
          <w:trHeight w:val="9631" w:hRule="atLeast"/>
        </w:trPr>
        <w:tc>
          <w:tcPr>
            <w:tcW w:w="7702" w:type="dxa"/>
            <w:tcBorders>
              <w:top w:val="nil"/>
              <w:left w:val="nil"/>
              <w:bottom w:val="nil"/>
              <w:right w:val="nil"/>
              <w:insideH w:val="nil"/>
              <w:insideV w:val="nil"/>
            </w:tcBorders>
            <w:shd w:fill="auto" w:val="clear"/>
          </w:tcPr>
          <w:p>
            <w:pPr>
              <w:pStyle w:val="Paragrap"/>
              <w:pageBreakBefore/>
              <w:spacing w:before="120" w:after="0"/>
              <w:jc w:val="center"/>
              <w:rPr>
                <w:sz w:val="28"/>
                <w:szCs w:val="28"/>
              </w:rPr>
            </w:pPr>
            <w:r>
              <w:rPr>
                <w:sz w:val="28"/>
                <w:szCs w:val="28"/>
                <w:lang w:bidi="ar-BH"/>
              </w:rPr>
              <w:t>Privatization</w:t>
            </w:r>
            <w:r>
              <w:rPr>
                <w:sz w:val="28"/>
                <w:szCs w:val="28"/>
              </w:rPr>
              <w:t xml:space="preserve">  law</w:t>
            </w:r>
          </w:p>
          <w:p>
            <w:pPr>
              <w:pStyle w:val="Paragrap"/>
              <w:spacing w:before="0" w:after="0"/>
              <w:jc w:val="center"/>
              <w:rPr>
                <w:lang w:bidi="ar-BH"/>
              </w:rPr>
            </w:pPr>
            <w:r>
              <w:rPr>
                <w:lang w:bidi="ar-BH"/>
              </w:rPr>
              <w:t>LEGISLATIVE DECREE NO. (41) OF 2002</w:t>
            </w:r>
          </w:p>
          <w:p>
            <w:pPr>
              <w:pStyle w:val="Paragrap"/>
              <w:spacing w:before="0" w:after="0"/>
              <w:jc w:val="center"/>
              <w:rPr>
                <w:lang w:bidi="ar-BH"/>
              </w:rPr>
            </w:pPr>
            <w:r>
              <w:rPr>
                <w:lang w:bidi="ar-BH"/>
              </w:rPr>
              <w:t>WITH RESPECT TO PRIVATIZATION</w:t>
            </w:r>
          </w:p>
          <w:p>
            <w:pPr>
              <w:pStyle w:val="Paragrap"/>
              <w:spacing w:before="120" w:after="0"/>
              <w:rPr>
                <w:lang w:bidi="ar-BH"/>
              </w:rPr>
            </w:pPr>
            <w:r>
              <w:rPr/>
            </w:r>
          </w:p>
          <w:p>
            <w:pPr>
              <w:pStyle w:val="Paragrap"/>
              <w:spacing w:before="120" w:after="0"/>
              <w:rPr/>
            </w:pPr>
            <w:r>
              <w:rPr>
                <w:b/>
                <w:bCs/>
                <w:lang w:bidi="ar-BH"/>
              </w:rPr>
              <w:t>We, Hamad bin Isa Al Khalifa,                 King of the Kingdom of Bahrain.</w:t>
            </w:r>
          </w:p>
          <w:p>
            <w:pPr>
              <w:pStyle w:val="Paragrap"/>
              <w:spacing w:before="120" w:after="0"/>
              <w:rPr>
                <w:lang w:bidi="ar-BH"/>
              </w:rPr>
            </w:pPr>
            <w:r>
              <w:rPr>
                <w:lang w:bidi="ar-BH"/>
              </w:rPr>
              <w:t xml:space="preserve">Having examined the Constitution, </w:t>
            </w:r>
          </w:p>
          <w:p>
            <w:pPr>
              <w:pStyle w:val="Paragrap"/>
              <w:spacing w:before="120" w:after="0"/>
              <w:rPr>
                <w:lang w:bidi="ar-BH"/>
              </w:rPr>
            </w:pPr>
            <w:r>
              <w:rPr>
                <w:lang w:bidi="ar-BH"/>
              </w:rPr>
              <w:t xml:space="preserve">And upon the submissions of the Minister of Finance and National Economy, and with the approval of the Council of Ministers, </w:t>
            </w:r>
          </w:p>
          <w:p>
            <w:pPr>
              <w:pStyle w:val="Paragrap"/>
              <w:spacing w:before="120" w:after="0"/>
              <w:rPr>
                <w:lang w:bidi="ar-BH"/>
              </w:rPr>
            </w:pPr>
            <w:r>
              <w:rPr>
                <w:lang w:bidi="ar-BH"/>
              </w:rPr>
            </w:r>
          </w:p>
          <w:p>
            <w:pPr>
              <w:pStyle w:val="Paragrap"/>
              <w:spacing w:before="320" w:after="120"/>
              <w:rPr>
                <w:lang w:bidi="ar-BH"/>
              </w:rPr>
            </w:pPr>
            <w:r>
              <w:rPr>
                <w:lang w:bidi="ar-BH"/>
              </w:rPr>
              <w:t xml:space="preserve">Hereby Decree the following: </w:t>
            </w:r>
          </w:p>
          <w:p>
            <w:pPr>
              <w:pStyle w:val="Paragrap"/>
              <w:spacing w:before="120" w:after="0"/>
              <w:rPr>
                <w:lang w:bidi="ar-BH"/>
              </w:rPr>
            </w:pPr>
            <w:r>
              <w:rPr/>
            </w:r>
          </w:p>
          <w:p>
            <w:pPr>
              <w:pStyle w:val="Titltels"/>
              <w:spacing w:before="120" w:after="0"/>
              <w:rPr>
                <w:lang w:bidi="ar-BH"/>
              </w:rPr>
            </w:pPr>
            <w:r>
              <w:rPr>
                <w:lang w:bidi="ar-BH"/>
              </w:rPr>
              <w:t>Article 1</w:t>
            </w:r>
          </w:p>
          <w:p>
            <w:pPr>
              <w:pStyle w:val="Paragrap"/>
              <w:spacing w:before="120" w:after="0"/>
              <w:rPr>
                <w:lang w:bidi="ar-BH"/>
              </w:rPr>
            </w:pPr>
            <w:r>
              <w:rPr>
                <w:lang w:bidi="ar-BH"/>
              </w:rPr>
              <w:t xml:space="preserve">Privatisation is a part of the economic policy of the Kingdom of Bahrain. </w:t>
            </w:r>
          </w:p>
          <w:p>
            <w:pPr>
              <w:pStyle w:val="Paragrap"/>
              <w:spacing w:before="120" w:after="0"/>
              <w:rPr>
                <w:lang w:bidi="ar-BH"/>
              </w:rPr>
            </w:pPr>
            <w:r>
              <w:rPr/>
            </w:r>
          </w:p>
          <w:p>
            <w:pPr>
              <w:pStyle w:val="Titltels"/>
              <w:spacing w:before="120" w:after="0"/>
              <w:rPr>
                <w:lang w:bidi="ar-BH"/>
              </w:rPr>
            </w:pPr>
            <w:r>
              <w:rPr>
                <w:lang w:bidi="ar-BH"/>
              </w:rPr>
              <w:t>Article 2</w:t>
            </w:r>
          </w:p>
          <w:p>
            <w:pPr>
              <w:pStyle w:val="Paragrap"/>
              <w:spacing w:before="120" w:after="0"/>
              <w:rPr>
                <w:lang w:bidi="ar-BH"/>
              </w:rPr>
            </w:pPr>
            <w:r>
              <w:rPr>
                <w:lang w:bidi="ar-BH"/>
              </w:rPr>
              <w:t xml:space="preserve">The Council of Ministers shall draw up, upon a proposal of the Minister of Finance and National Economy, and after seeking the opinion of the Economic Development Board, the Policies and Guidelines of Privatisation for which an Edict of the Prime Minister shall be issued. </w:t>
            </w:r>
          </w:p>
          <w:p>
            <w:pPr>
              <w:pStyle w:val="Paragrap"/>
              <w:spacing w:before="120" w:after="0"/>
              <w:rPr>
                <w:lang w:bidi="ar-BH"/>
              </w:rPr>
            </w:pPr>
            <w:r>
              <w:rPr>
                <w:lang w:bidi="ar-BH"/>
              </w:rPr>
            </w:r>
          </w:p>
          <w:p>
            <w:pPr>
              <w:pStyle w:val="Titltels"/>
              <w:spacing w:before="120" w:after="0"/>
              <w:rPr>
                <w:lang w:bidi="ar-BH"/>
              </w:rPr>
            </w:pPr>
            <w:r>
              <w:rPr>
                <w:lang w:bidi="ar-BH"/>
              </w:rPr>
              <w:t xml:space="preserve">Article 3 </w:t>
            </w:r>
          </w:p>
          <w:p>
            <w:pPr>
              <w:pStyle w:val="Paragrap"/>
              <w:spacing w:before="120" w:after="0"/>
              <w:rPr>
                <w:lang w:bidi="ar-BH"/>
              </w:rPr>
            </w:pPr>
            <w:r>
              <w:rPr>
                <w:lang w:bidi="ar-BH"/>
              </w:rPr>
              <w:t xml:space="preserve">The Council of Ministers shall delegate the Ministry of Finance and National Economy, in co-ordination with the Economic Development Board and the concerned Ministry, to make the administrative and technical preparations to implement the Privatisation Scheme, and launch the projects which are needed to privatize them for the Private Sector according to clear and declared standards and rules. </w:t>
            </w:r>
          </w:p>
          <w:p>
            <w:pPr>
              <w:pStyle w:val="Paragrap"/>
              <w:spacing w:before="120" w:after="0"/>
              <w:rPr>
                <w:lang w:bidi="ar-BH"/>
              </w:rPr>
            </w:pPr>
            <w:r>
              <w:rPr/>
            </w:r>
          </w:p>
          <w:p>
            <w:pPr>
              <w:pStyle w:val="Titltels"/>
              <w:spacing w:before="120" w:after="0"/>
              <w:rPr>
                <w:lang w:bidi="ar-BH"/>
              </w:rPr>
            </w:pPr>
            <w:r>
              <w:rPr>
                <w:lang w:bidi="ar-BH"/>
              </w:rPr>
              <w:t xml:space="preserve">Article 4 </w:t>
            </w:r>
          </w:p>
          <w:p>
            <w:pPr>
              <w:pStyle w:val="Paragrap"/>
              <w:spacing w:lineRule="exact" w:line="200" w:before="120" w:after="0"/>
              <w:rPr>
                <w:sz w:val="22"/>
                <w:szCs w:val="22"/>
                <w:lang w:bidi="ar-BH"/>
              </w:rPr>
            </w:pPr>
            <w:r>
              <w:rPr>
                <w:sz w:val="22"/>
                <w:szCs w:val="22"/>
                <w:lang w:bidi="ar-BH"/>
              </w:rPr>
              <w:t>The Privatisation Programme shall include the service and manufacture Sectors, and in particular the tourism sector, communications sector, transport, electricity and water, the ports and airport service, oil and gas sector, postal service and any other service and production sectors.</w:t>
            </w:r>
          </w:p>
          <w:p>
            <w:pPr>
              <w:pStyle w:val="Paragrap"/>
              <w:spacing w:lineRule="exact" w:line="200" w:before="120" w:after="0"/>
              <w:rPr>
                <w:sz w:val="22"/>
                <w:szCs w:val="22"/>
                <w:lang w:bidi="ar-BH"/>
              </w:rPr>
            </w:pPr>
            <w:r>
              <w:rPr>
                <w:sz w:val="22"/>
                <w:szCs w:val="22"/>
                <w:lang w:bidi="ar-BH"/>
              </w:rPr>
              <w:t xml:space="preserve">Certain tourist areas may be privatized and call it “Tourist Areas” within the regulations which shall be drawn up, and which shall control the organization, finance and manner of management of these “Tourist Areas”, in accordance with the standards and the bases of development of international tourism. </w:t>
            </w:r>
          </w:p>
          <w:p>
            <w:pPr>
              <w:pStyle w:val="Titltels"/>
              <w:spacing w:before="120" w:after="0"/>
              <w:rPr>
                <w:lang w:bidi="ar-BH"/>
              </w:rPr>
            </w:pPr>
            <w:r>
              <w:rPr/>
            </w:r>
          </w:p>
          <w:p>
            <w:pPr>
              <w:pStyle w:val="Titltels"/>
              <w:spacing w:before="120" w:after="0"/>
              <w:rPr>
                <w:lang w:bidi="ar-BH"/>
              </w:rPr>
            </w:pPr>
            <w:r>
              <w:rPr>
                <w:lang w:bidi="ar-BH"/>
              </w:rPr>
              <w:t>Article 5</w:t>
            </w:r>
          </w:p>
          <w:p>
            <w:pPr>
              <w:pStyle w:val="Paragrap"/>
              <w:spacing w:before="120" w:after="0"/>
              <w:rPr>
                <w:lang w:bidi="ar-BH"/>
              </w:rPr>
            </w:pPr>
            <w:r>
              <w:rPr>
                <w:lang w:bidi="ar-BH"/>
              </w:rPr>
              <w:t>Gradual privatization shall be observed in order to achieve absorbing the economic and social changes and any other effects, in consistency with stable and steady growth of the economy, and to achieve social peace and security.</w:t>
            </w:r>
          </w:p>
          <w:p>
            <w:pPr>
              <w:pStyle w:val="Paragrap"/>
              <w:spacing w:before="120" w:after="0"/>
              <w:rPr>
                <w:lang w:bidi="ar-BH"/>
              </w:rPr>
            </w:pPr>
            <w:r>
              <w:rPr/>
            </w:r>
          </w:p>
          <w:p>
            <w:pPr>
              <w:pStyle w:val="Titltels"/>
              <w:spacing w:before="120" w:after="0"/>
              <w:rPr>
                <w:lang w:bidi="ar-BH"/>
              </w:rPr>
            </w:pPr>
            <w:r>
              <w:rPr>
                <w:lang w:bidi="ar-BH"/>
              </w:rPr>
              <w:t xml:space="preserve">Article 6  </w:t>
            </w:r>
          </w:p>
          <w:p>
            <w:pPr>
              <w:pStyle w:val="Paragrap"/>
              <w:spacing w:before="120" w:after="0"/>
              <w:rPr>
                <w:lang w:bidi="ar-BH"/>
              </w:rPr>
            </w:pPr>
            <w:r>
              <w:rPr>
                <w:lang w:bidi="ar-BH"/>
              </w:rPr>
              <w:t>The projects which are needed to be privatized shall be restructured in accordance with the means decided by the Council of Ministers, in conformity with the international trends in this respect.</w:t>
            </w:r>
          </w:p>
          <w:p>
            <w:pPr>
              <w:pStyle w:val="Paragrap"/>
              <w:spacing w:before="120" w:after="0"/>
              <w:rPr>
                <w:lang w:bidi="ar-BH"/>
              </w:rPr>
            </w:pPr>
            <w:r>
              <w:rPr/>
            </w:r>
          </w:p>
          <w:p>
            <w:pPr>
              <w:pStyle w:val="Paragrap"/>
              <w:spacing w:before="120" w:after="0"/>
              <w:rPr>
                <w:lang w:bidi="ar-BH"/>
              </w:rPr>
            </w:pPr>
            <w:r>
              <w:rPr>
                <w:lang w:bidi="ar-BH"/>
              </w:rPr>
              <w:t>Article 7</w:t>
            </w:r>
          </w:p>
          <w:p>
            <w:pPr>
              <w:pStyle w:val="Paragrap"/>
              <w:spacing w:before="120" w:after="0"/>
              <w:rPr>
                <w:lang w:bidi="ar-BH"/>
              </w:rPr>
            </w:pPr>
            <w:r>
              <w:rPr>
                <w:lang w:bidi="ar-BH"/>
              </w:rPr>
              <w:t xml:space="preserve">The financial revenues resulting from privatization operations shall be deposited in the general reserve of the State, provided that these revenues shall be used by a resolution of the Council of Ministers, and in particular for the following purposes: </w:t>
            </w:r>
          </w:p>
          <w:p>
            <w:pPr>
              <w:pStyle w:val="Paragrap"/>
              <w:numPr>
                <w:ilvl w:val="0"/>
                <w:numId w:val="2"/>
              </w:numPr>
              <w:spacing w:before="120" w:after="0"/>
              <w:rPr>
                <w:lang w:bidi="ar-BH"/>
              </w:rPr>
            </w:pPr>
            <w:r>
              <w:rPr>
                <w:lang w:bidi="ar-BH"/>
              </w:rPr>
              <w:t xml:space="preserve">To spend on the restructuring operations of the projects which are needed to privatize them, and to free them of any due debts. </w:t>
            </w:r>
          </w:p>
          <w:p>
            <w:pPr>
              <w:pStyle w:val="Paragrap"/>
              <w:numPr>
                <w:ilvl w:val="0"/>
                <w:numId w:val="2"/>
              </w:numPr>
              <w:spacing w:before="120" w:after="0"/>
              <w:rPr>
                <w:lang w:bidi="ar-BH"/>
              </w:rPr>
            </w:pPr>
            <w:r>
              <w:rPr>
                <w:lang w:bidi="ar-BH"/>
              </w:rPr>
              <w:t>To finance establishing new economic projects which contribute to achieving development.</w:t>
            </w:r>
          </w:p>
          <w:p>
            <w:pPr>
              <w:pStyle w:val="Paragrap"/>
              <w:numPr>
                <w:ilvl w:val="0"/>
                <w:numId w:val="2"/>
              </w:numPr>
              <w:spacing w:before="120" w:after="0"/>
              <w:rPr/>
            </w:pPr>
            <w:r>
              <w:rPr>
                <w:lang w:bidi="ar-BH"/>
              </w:rPr>
              <w:t>To finance requalification of the staff in the projects which were privatized, and to settle their financial dues.</w:t>
            </w:r>
          </w:p>
          <w:p>
            <w:pPr>
              <w:pStyle w:val="Paragrap"/>
              <w:spacing w:before="120" w:after="0"/>
              <w:rPr>
                <w:lang w:bidi="ar-BH"/>
              </w:rPr>
            </w:pPr>
            <w:r>
              <w:rPr/>
            </w:r>
          </w:p>
          <w:p>
            <w:pPr>
              <w:pStyle w:val="Titltels"/>
              <w:spacing w:before="120" w:after="0"/>
              <w:rPr>
                <w:lang w:bidi="ar-BH"/>
              </w:rPr>
            </w:pPr>
            <w:r>
              <w:rPr>
                <w:lang w:bidi="ar-BH"/>
              </w:rPr>
              <w:t>Article 8</w:t>
            </w:r>
          </w:p>
          <w:p>
            <w:pPr>
              <w:pStyle w:val="Paragrap"/>
              <w:spacing w:before="120" w:after="0"/>
              <w:rPr>
                <w:lang w:bidi="ar-BH"/>
              </w:rPr>
            </w:pPr>
            <w:r>
              <w:rPr>
                <w:lang w:bidi="ar-BH"/>
              </w:rPr>
              <w:t xml:space="preserve">The Council of Ministers may establish a separate share to which some private rights shall be attached in order to protect the national interest, and this is in exemption from the general rules applicable to the companies. </w:t>
            </w:r>
          </w:p>
          <w:p>
            <w:pPr>
              <w:pStyle w:val="Paragrap"/>
              <w:spacing w:before="120" w:after="0"/>
              <w:rPr>
                <w:lang w:bidi="ar-BH"/>
              </w:rPr>
            </w:pPr>
            <w:r>
              <w:rPr/>
            </w:r>
          </w:p>
          <w:p>
            <w:pPr>
              <w:pStyle w:val="Titltels"/>
              <w:spacing w:before="120" w:after="0"/>
              <w:rPr>
                <w:lang w:bidi="ar-BH"/>
              </w:rPr>
            </w:pPr>
            <w:r>
              <w:rPr>
                <w:lang w:bidi="ar-BH"/>
              </w:rPr>
              <w:t>Article 9</w:t>
            </w:r>
          </w:p>
          <w:p>
            <w:pPr>
              <w:pStyle w:val="Paragrap"/>
              <w:spacing w:before="120" w:after="0"/>
              <w:rPr>
                <w:lang w:bidi="ar-BH"/>
              </w:rPr>
            </w:pPr>
            <w:r>
              <w:rPr>
                <w:lang w:bidi="ar-BH"/>
              </w:rPr>
              <w:t>The Ministers, each in his capacity, shall implement this law, which shall come in effect from the date of its publication in the Official Gazette.</w:t>
            </w:r>
          </w:p>
          <w:p>
            <w:pPr>
              <w:pStyle w:val="Paragrap"/>
              <w:spacing w:before="120" w:after="0"/>
              <w:rPr>
                <w:lang w:bidi="ar-BH"/>
              </w:rPr>
            </w:pPr>
            <w:r>
              <w:rPr/>
            </w:r>
          </w:p>
          <w:p>
            <w:pPr>
              <w:pStyle w:val="Paragrap"/>
              <w:spacing w:before="0" w:after="0"/>
              <w:rPr>
                <w:lang w:bidi="ar-BH"/>
              </w:rPr>
            </w:pPr>
            <w:r>
              <w:rPr>
                <w:lang w:bidi="ar-BH"/>
              </w:rPr>
              <w:t>Hamad bin Isa Al Khalifa</w:t>
            </w:r>
          </w:p>
          <w:p>
            <w:pPr>
              <w:pStyle w:val="Paragrap"/>
              <w:spacing w:before="0" w:after="0"/>
              <w:rPr>
                <w:lang w:bidi="ar-BH"/>
              </w:rPr>
            </w:pPr>
            <w:r>
              <w:rPr>
                <w:lang w:bidi="ar-BH"/>
              </w:rPr>
              <w:t>King of the Kingdom of Bahrain</w:t>
            </w:r>
          </w:p>
          <w:p>
            <w:pPr>
              <w:pStyle w:val="Paragrap"/>
              <w:spacing w:before="120" w:after="0"/>
              <w:rPr>
                <w:lang w:bidi="ar-BH"/>
              </w:rPr>
            </w:pPr>
            <w:r>
              <w:rPr>
                <w:lang w:bidi="ar-BH"/>
              </w:rPr>
              <w:t>Khalifa bin Salman Al Khalifa</w:t>
            </w:r>
          </w:p>
          <w:p>
            <w:pPr>
              <w:pStyle w:val="Paragrap"/>
              <w:spacing w:before="0" w:after="0"/>
              <w:rPr>
                <w:lang w:bidi="ar-BH"/>
              </w:rPr>
            </w:pPr>
            <w:r>
              <w:rPr>
                <w:lang w:bidi="ar-BH"/>
              </w:rPr>
              <w:t>Prime Minister</w:t>
            </w:r>
          </w:p>
          <w:p>
            <w:pPr>
              <w:pStyle w:val="Paragrap"/>
              <w:spacing w:before="120" w:after="0"/>
              <w:rPr>
                <w:lang w:bidi="ar-BH"/>
              </w:rPr>
            </w:pPr>
            <w:r>
              <w:rPr>
                <w:lang w:bidi="ar-BH"/>
              </w:rPr>
              <w:t>Abdulla HasanSaif</w:t>
            </w:r>
          </w:p>
          <w:p>
            <w:pPr>
              <w:pStyle w:val="Paragrap"/>
              <w:spacing w:before="0" w:after="0"/>
              <w:rPr>
                <w:lang w:bidi="ar-BH"/>
              </w:rPr>
            </w:pPr>
            <w:r>
              <w:rPr>
                <w:lang w:bidi="ar-BH"/>
              </w:rPr>
              <w:t>Minister of Finance and National Economy</w:t>
            </w:r>
          </w:p>
          <w:p>
            <w:pPr>
              <w:pStyle w:val="Paragrap"/>
              <w:spacing w:before="120" w:after="0"/>
              <w:rPr>
                <w:lang w:bidi="ar-BH"/>
              </w:rPr>
            </w:pPr>
            <w:r>
              <w:rPr>
                <w:lang w:bidi="ar-BH"/>
              </w:rPr>
              <w:t>Issued at Riffa Palace</w:t>
            </w:r>
          </w:p>
          <w:p>
            <w:pPr>
              <w:pStyle w:val="Paragrap"/>
              <w:spacing w:before="0" w:after="0"/>
              <w:rPr>
                <w:lang w:bidi="ar-BH"/>
              </w:rPr>
            </w:pPr>
            <w:r>
              <w:rPr>
                <w:lang w:bidi="ar-BH"/>
              </w:rPr>
              <w:t>On: 8th Shaban 1423 Hijra,</w:t>
            </w:r>
          </w:p>
          <w:p>
            <w:pPr>
              <w:pStyle w:val="Paragrap"/>
              <w:spacing w:before="0" w:after="0"/>
              <w:rPr>
                <w:lang w:bidi="ar-BH"/>
              </w:rPr>
            </w:pPr>
            <w:r>
              <w:rPr>
                <w:lang w:bidi="ar-BH"/>
              </w:rPr>
              <w:t>Corresponding to: 14th October 2002</w:t>
            </w:r>
          </w:p>
          <w:p>
            <w:pPr>
              <w:pStyle w:val="Paragrap"/>
              <w:spacing w:before="120" w:after="0"/>
              <w:rPr>
                <w:lang w:bidi="ar-BH"/>
              </w:rPr>
            </w:pPr>
            <w:r>
              <w:rPr>
                <w:lang w:bidi="ar-BH"/>
              </w:rPr>
              <w:t xml:space="preserve"> </w:t>
            </w:r>
          </w:p>
          <w:p>
            <w:pPr>
              <w:pStyle w:val="Paragrap"/>
              <w:spacing w:before="120" w:after="0"/>
              <w:rPr>
                <w:lang w:bidi="ar-BH"/>
              </w:rPr>
            </w:pPr>
            <w:r>
              <w:rPr>
                <w:lang w:bidi="ar-BH"/>
              </w:rPr>
            </w:r>
          </w:p>
        </w:tc>
        <w:tc>
          <w:tcPr>
            <w:tcW w:w="7701" w:type="dxa"/>
            <w:tcBorders>
              <w:top w:val="nil"/>
              <w:left w:val="nil"/>
              <w:bottom w:val="nil"/>
              <w:right w:val="nil"/>
              <w:insideH w:val="nil"/>
              <w:insideV w:val="nil"/>
            </w:tcBorders>
            <w:shd w:fill="auto" w:val="clear"/>
          </w:tcPr>
          <w:p>
            <w:pPr>
              <w:pStyle w:val="Style11"/>
              <w:spacing w:lineRule="auto" w:line="240" w:before="120" w:after="0"/>
              <w:jc w:val="center"/>
              <w:rPr>
                <w:b/>
                <w:b/>
                <w:bCs/>
                <w:sz w:val="26"/>
                <w:szCs w:val="26"/>
                <w:lang w:val="en-GB" w:bidi="ar-BH"/>
              </w:rPr>
            </w:pPr>
            <w:r>
              <w:rPr>
                <w:b/>
                <w:b/>
                <w:bCs/>
                <w:sz w:val="26"/>
                <w:sz w:val="26"/>
                <w:szCs w:val="26"/>
                <w:rtl w:val="true"/>
                <w:lang w:val="en-GB" w:bidi="ar-BH"/>
              </w:rPr>
              <w:t>قانون سياسات و ضوابط الخصخصة</w:t>
            </w:r>
          </w:p>
          <w:p>
            <w:pPr>
              <w:pStyle w:val="Style11"/>
              <w:spacing w:lineRule="auto" w:line="240" w:before="0" w:after="0"/>
              <w:jc w:val="center"/>
              <w:rPr/>
            </w:pPr>
            <w:r>
              <w:rPr>
                <w:rtl w:val="true"/>
              </w:rPr>
              <w:t xml:space="preserve">مرسوم بقانون رقم </w:t>
            </w:r>
            <w:r>
              <w:rPr>
                <w:rtl w:val="true"/>
              </w:rPr>
              <w:t>(</w:t>
            </w:r>
            <w:r>
              <w:rPr/>
              <w:t>41</w:t>
            </w:r>
            <w:r>
              <w:rPr>
                <w:rtl w:val="true"/>
              </w:rPr>
              <w:t xml:space="preserve"> ) </w:t>
            </w:r>
            <w:r>
              <w:rPr>
                <w:rtl w:val="true"/>
              </w:rPr>
              <w:t xml:space="preserve">لسنة </w:t>
            </w:r>
            <w:r>
              <w:rPr/>
              <w:t>2002</w:t>
            </w:r>
          </w:p>
          <w:p>
            <w:pPr>
              <w:pStyle w:val="Style11"/>
              <w:spacing w:lineRule="auto" w:line="240" w:before="0" w:after="0"/>
              <w:jc w:val="center"/>
              <w:rPr/>
            </w:pPr>
            <w:r>
              <w:rPr>
                <w:rtl w:val="true"/>
              </w:rPr>
              <w:t>بشأن سياسات وضوابط الخصخصة</w:t>
            </w:r>
          </w:p>
          <w:p>
            <w:pPr>
              <w:pStyle w:val="Style11"/>
              <w:spacing w:lineRule="auto" w:line="240" w:before="0" w:after="0"/>
              <w:rPr/>
            </w:pPr>
            <w:r>
              <w:rPr>
                <w:rtl w:val="true"/>
              </w:rPr>
            </w:r>
          </w:p>
          <w:p>
            <w:pPr>
              <w:pStyle w:val="Style11"/>
              <w:spacing w:lineRule="auto" w:line="240" w:before="0" w:after="0"/>
              <w:rPr/>
            </w:pPr>
            <w:r>
              <w:rPr>
                <w:b/>
                <w:b/>
                <w:bCs/>
                <w:rtl w:val="true"/>
              </w:rPr>
              <w:t>نحن حمد بن عيسى آل خليفة          ملك مملكة البحرين</w:t>
            </w:r>
            <w:r>
              <w:rPr>
                <w:b/>
                <w:bCs/>
                <w:rtl w:val="true"/>
              </w:rPr>
              <w:t>.</w:t>
            </w:r>
          </w:p>
          <w:p>
            <w:pPr>
              <w:pStyle w:val="Style11"/>
              <w:spacing w:lineRule="auto" w:line="240" w:before="120" w:after="0"/>
              <w:rPr/>
            </w:pPr>
            <w:r>
              <w:rPr>
                <w:rtl w:val="true"/>
              </w:rPr>
              <w:t>بعد الإطلاع على الدستور</w:t>
            </w:r>
            <w:r>
              <w:rPr>
                <w:rtl w:val="true"/>
              </w:rPr>
              <w:t>,</w:t>
            </w:r>
          </w:p>
          <w:p>
            <w:pPr>
              <w:pStyle w:val="Style11"/>
              <w:spacing w:lineRule="auto" w:line="240" w:before="120" w:after="0"/>
              <w:rPr/>
            </w:pPr>
            <w:r>
              <w:rPr>
                <w:rtl w:val="true"/>
              </w:rPr>
              <w:t>وبناء على عرض وزير المالية والاقتصاد الوطني</w:t>
            </w:r>
            <w:r>
              <w:rPr>
                <w:rtl w:val="true"/>
              </w:rPr>
              <w:t>,</w:t>
            </w:r>
          </w:p>
          <w:p>
            <w:pPr>
              <w:pStyle w:val="Style11"/>
              <w:spacing w:lineRule="auto" w:line="240" w:before="120" w:after="0"/>
              <w:rPr/>
            </w:pPr>
            <w:r>
              <w:rPr>
                <w:rtl w:val="true"/>
              </w:rPr>
              <w:t>وبعد موافقة مجلس الوزراء على ذلك</w:t>
            </w:r>
            <w:r>
              <w:rPr>
                <w:rtl w:val="true"/>
              </w:rPr>
              <w:t>,</w:t>
            </w:r>
          </w:p>
          <w:p>
            <w:pPr>
              <w:pStyle w:val="Style11"/>
              <w:spacing w:lineRule="auto" w:line="240" w:before="120" w:after="0"/>
              <w:rPr/>
            </w:pPr>
            <w:r>
              <w:rPr>
                <w:rtl w:val="true"/>
              </w:rPr>
            </w:r>
          </w:p>
          <w:p>
            <w:pPr>
              <w:pStyle w:val="Style11"/>
              <w:spacing w:lineRule="auto" w:line="240" w:before="120" w:after="0"/>
              <w:rPr/>
            </w:pPr>
            <w:r>
              <w:rPr>
                <w:rtl w:val="true"/>
              </w:rPr>
              <w:t>رسمنا بالقانون الآتي</w:t>
            </w:r>
            <w:r>
              <w:rPr>
                <w:rtl w:val="true"/>
              </w:rPr>
              <w:t>:</w:t>
            </w:r>
          </w:p>
          <w:p>
            <w:pPr>
              <w:pStyle w:val="Style11"/>
              <w:spacing w:lineRule="auto" w:line="240" w:before="120" w:after="0"/>
              <w:rPr/>
            </w:pPr>
            <w:r>
              <w:rPr>
                <w:rtl w:val="true"/>
              </w:rPr>
            </w:r>
          </w:p>
          <w:p>
            <w:pPr>
              <w:pStyle w:val="Style10"/>
              <w:spacing w:lineRule="auto" w:line="240" w:before="0" w:after="0"/>
              <w:rPr/>
            </w:pPr>
            <w:r>
              <w:rPr>
                <w:rtl w:val="true"/>
              </w:rPr>
              <w:t xml:space="preserve">مادة </w:t>
            </w:r>
            <w:r>
              <w:rPr/>
              <w:t>1</w:t>
            </w:r>
            <w:r>
              <w:rPr>
                <w:rtl w:val="true"/>
              </w:rPr>
              <w:t xml:space="preserve"> </w:t>
            </w:r>
          </w:p>
          <w:p>
            <w:pPr>
              <w:pStyle w:val="Style11"/>
              <w:spacing w:lineRule="auto" w:line="240" w:before="120" w:after="0"/>
              <w:rPr/>
            </w:pPr>
            <w:r>
              <w:rPr>
                <w:rtl w:val="true"/>
              </w:rPr>
              <w:t>التخصيص جزء من السياسة الاقتصادية لمملكة البحرين</w:t>
            </w:r>
            <w:r>
              <w:rPr>
                <w:rtl w:val="true"/>
              </w:rPr>
              <w:t>.</w:t>
            </w:r>
          </w:p>
          <w:p>
            <w:pPr>
              <w:pStyle w:val="Style11"/>
              <w:spacing w:lineRule="auto" w:line="240" w:before="120" w:after="0"/>
              <w:rPr/>
            </w:pPr>
            <w:r>
              <w:rPr>
                <w:rtl w:val="true"/>
              </w:rPr>
            </w:r>
          </w:p>
          <w:p>
            <w:pPr>
              <w:pStyle w:val="Style10"/>
              <w:spacing w:lineRule="auto" w:line="240" w:before="0" w:after="0"/>
              <w:rPr/>
            </w:pPr>
            <w:r>
              <w:rPr>
                <w:rtl w:val="true"/>
              </w:rPr>
              <w:t xml:space="preserve">مادة </w:t>
            </w:r>
            <w:r>
              <w:rPr/>
              <w:t>2</w:t>
            </w:r>
            <w:r>
              <w:rPr>
                <w:rtl w:val="true"/>
              </w:rPr>
              <w:t xml:space="preserve"> </w:t>
            </w:r>
          </w:p>
          <w:p>
            <w:pPr>
              <w:pStyle w:val="Style11"/>
              <w:spacing w:lineRule="auto" w:line="240" w:before="120" w:after="320"/>
              <w:rPr/>
            </w:pPr>
            <w:r>
              <w:rPr>
                <w:rtl w:val="true"/>
              </w:rPr>
              <w:t>يضع مجلس الوزراء بناء على اقتراح وزير المالية والاقتصاد الوطني</w:t>
            </w:r>
            <w:r>
              <w:rPr>
                <w:rtl w:val="true"/>
              </w:rPr>
              <w:t xml:space="preserve">, </w:t>
            </w:r>
            <w:r>
              <w:rPr>
                <w:rtl w:val="true"/>
              </w:rPr>
              <w:t>وبعد أخذ رأي مجلس التنمية الاقتصادية</w:t>
            </w:r>
            <w:r>
              <w:rPr>
                <w:rtl w:val="true"/>
              </w:rPr>
              <w:t xml:space="preserve">, </w:t>
            </w:r>
            <w:r>
              <w:rPr>
                <w:rtl w:val="true"/>
              </w:rPr>
              <w:t>السياسات والضوابط الخاصة بسياسة التخصيص</w:t>
            </w:r>
            <w:r>
              <w:rPr>
                <w:rtl w:val="true"/>
              </w:rPr>
              <w:t xml:space="preserve">, </w:t>
            </w:r>
            <w:r>
              <w:rPr>
                <w:rtl w:val="true"/>
              </w:rPr>
              <w:t>ويصدر بهذه الضوابط والسياسات قرار من رئيس مجلس الوزراء</w:t>
            </w:r>
            <w:r>
              <w:rPr>
                <w:rtl w:val="true"/>
              </w:rPr>
              <w:t>.</w:t>
            </w:r>
          </w:p>
          <w:p>
            <w:pPr>
              <w:pStyle w:val="Style11"/>
              <w:spacing w:lineRule="auto" w:line="240" w:before="120" w:after="0"/>
              <w:rPr/>
            </w:pPr>
            <w:r>
              <w:rPr>
                <w:rtl w:val="true"/>
              </w:rPr>
            </w:r>
          </w:p>
          <w:p>
            <w:pPr>
              <w:pStyle w:val="Style10"/>
              <w:spacing w:lineRule="auto" w:line="240" w:before="0" w:after="0"/>
              <w:rPr/>
            </w:pPr>
            <w:r>
              <w:rPr>
                <w:rtl w:val="true"/>
              </w:rPr>
              <w:t xml:space="preserve">مادة </w:t>
            </w:r>
            <w:r>
              <w:rPr/>
              <w:t>3</w:t>
            </w:r>
            <w:r>
              <w:rPr>
                <w:rtl w:val="true"/>
              </w:rPr>
              <w:t xml:space="preserve"> </w:t>
            </w:r>
          </w:p>
          <w:p>
            <w:pPr>
              <w:pStyle w:val="Style11"/>
              <w:spacing w:lineRule="auto" w:line="240" w:before="120" w:after="320"/>
              <w:rPr/>
            </w:pPr>
            <w:r>
              <w:rPr>
                <w:rtl w:val="true"/>
              </w:rPr>
              <w:t>يوكل رئيس مجلس الوزراء إلى وزارة المالية والاقتصاد الوطني بالتنسيق مع مجلس التنمية الاقتصادية والوزارة المعنية</w:t>
            </w:r>
            <w:r>
              <w:rPr>
                <w:rtl w:val="true"/>
              </w:rPr>
              <w:t xml:space="preserve">, </w:t>
            </w:r>
            <w:r>
              <w:rPr>
                <w:rtl w:val="true"/>
              </w:rPr>
              <w:t>وضع الترتيبات الإدارية والفنية لتنفيذ برنامج التخصيص وطرح المشرعات المراد تخصيصها على القطاع الخاص بناء على معايير وضوابط واضحة ومعلنة</w:t>
            </w:r>
            <w:r>
              <w:rPr>
                <w:rtl w:val="true"/>
              </w:rPr>
              <w:t>.</w:t>
            </w:r>
          </w:p>
          <w:p>
            <w:pPr>
              <w:pStyle w:val="Style11"/>
              <w:spacing w:lineRule="auto" w:line="240" w:before="120" w:after="0"/>
              <w:rPr/>
            </w:pPr>
            <w:r>
              <w:rPr>
                <w:rtl w:val="true"/>
              </w:rPr>
            </w:r>
          </w:p>
          <w:p>
            <w:pPr>
              <w:pStyle w:val="Style10"/>
              <w:spacing w:lineRule="auto" w:line="240" w:before="0" w:after="0"/>
              <w:rPr/>
            </w:pPr>
            <w:r>
              <w:rPr>
                <w:rtl w:val="true"/>
              </w:rPr>
              <w:t xml:space="preserve">مادة </w:t>
            </w:r>
            <w:r>
              <w:rPr/>
              <w:t>4</w:t>
            </w:r>
            <w:r>
              <w:rPr>
                <w:rtl w:val="true"/>
              </w:rPr>
              <w:t xml:space="preserve"> </w:t>
            </w:r>
          </w:p>
          <w:p>
            <w:pPr>
              <w:pStyle w:val="Style11"/>
              <w:spacing w:lineRule="auto" w:line="240" w:before="120" w:after="280"/>
              <w:rPr/>
            </w:pPr>
            <w:r>
              <w:rPr>
                <w:rtl w:val="true"/>
              </w:rPr>
              <w:t>يشمل برنامج التخصيص قطاعات الخدمات والإنتاج</w:t>
            </w:r>
            <w:r>
              <w:rPr>
                <w:rtl w:val="true"/>
              </w:rPr>
              <w:t xml:space="preserve">, </w:t>
            </w:r>
            <w:r>
              <w:rPr>
                <w:rtl w:val="true"/>
              </w:rPr>
              <w:t>وعلى الأخص قطاع السياحة وقطاع الاتصالات والنقل والكهرباء والماء وخدمات الموانئ والمطارات</w:t>
            </w:r>
            <w:r>
              <w:rPr>
                <w:rtl w:val="true"/>
              </w:rPr>
              <w:t xml:space="preserve">, </w:t>
            </w:r>
            <w:r>
              <w:rPr>
                <w:rtl w:val="true"/>
              </w:rPr>
              <w:t>وقطاع خدمات النفط والغاز وخدمات البريد</w:t>
            </w:r>
            <w:r>
              <w:rPr>
                <w:rtl w:val="true"/>
              </w:rPr>
              <w:t xml:space="preserve">, </w:t>
            </w:r>
            <w:r>
              <w:rPr>
                <w:rtl w:val="true"/>
              </w:rPr>
              <w:t>وأي قطاعات خدمية وإنتاجية أخرى</w:t>
            </w:r>
            <w:r>
              <w:rPr>
                <w:rtl w:val="true"/>
              </w:rPr>
              <w:t>.</w:t>
            </w:r>
          </w:p>
          <w:p>
            <w:pPr>
              <w:pStyle w:val="Style11"/>
              <w:spacing w:lineRule="auto" w:line="240" w:before="120" w:after="0"/>
              <w:rPr/>
            </w:pPr>
            <w:r>
              <w:rPr>
                <w:rtl w:val="true"/>
              </w:rPr>
              <w:t xml:space="preserve">ويجوز تخصيص مناطق سياحية معينة ومنحها </w:t>
            </w:r>
            <w:r>
              <w:rPr>
                <w:rtl w:val="true"/>
              </w:rPr>
              <w:t xml:space="preserve">" </w:t>
            </w:r>
            <w:r>
              <w:rPr>
                <w:rtl w:val="true"/>
              </w:rPr>
              <w:t xml:space="preserve">صفة المنطقة السياحية </w:t>
            </w:r>
            <w:r>
              <w:rPr>
                <w:rtl w:val="true"/>
              </w:rPr>
              <w:t xml:space="preserve">" </w:t>
            </w:r>
            <w:r>
              <w:rPr>
                <w:rtl w:val="true"/>
              </w:rPr>
              <w:t>في إطار القواعد التي يتم وضعها والتي تحكم تنظيمها وتمويلها وأسلوب إدارتها</w:t>
            </w:r>
            <w:r>
              <w:rPr>
                <w:rtl w:val="true"/>
              </w:rPr>
              <w:t xml:space="preserve">, </w:t>
            </w:r>
            <w:r>
              <w:rPr>
                <w:rtl w:val="true"/>
              </w:rPr>
              <w:t>بما يتفق ومعايير وأسس التنمية الخاصة بالسياحة الدولية</w:t>
            </w:r>
            <w:r>
              <w:rPr>
                <w:rtl w:val="true"/>
              </w:rPr>
              <w:t>.</w:t>
            </w:r>
          </w:p>
          <w:p>
            <w:pPr>
              <w:pStyle w:val="Style11"/>
              <w:spacing w:lineRule="auto" w:line="240" w:before="120" w:after="0"/>
              <w:rPr/>
            </w:pPr>
            <w:r>
              <w:rPr>
                <w:rtl w:val="true"/>
              </w:rPr>
            </w:r>
          </w:p>
          <w:p>
            <w:pPr>
              <w:pStyle w:val="Style10"/>
              <w:spacing w:lineRule="auto" w:line="240" w:before="0" w:after="0"/>
              <w:rPr/>
            </w:pPr>
            <w:r>
              <w:rPr>
                <w:rtl w:val="true"/>
              </w:rPr>
              <w:t xml:space="preserve">مادة </w:t>
            </w:r>
            <w:r>
              <w:rPr/>
              <w:t>5</w:t>
            </w:r>
          </w:p>
          <w:p>
            <w:pPr>
              <w:pStyle w:val="Style11"/>
              <w:spacing w:lineRule="auto" w:line="240" w:before="120" w:after="280"/>
              <w:rPr/>
            </w:pPr>
            <w:r>
              <w:rPr>
                <w:rtl w:val="true"/>
              </w:rPr>
              <w:t>يراعى التدرج في التخصيص بما يحقق استيعاب المتغيرات الاقتصادية والاجتماعية وأية آثارا أخرى</w:t>
            </w:r>
            <w:r>
              <w:rPr>
                <w:rtl w:val="true"/>
              </w:rPr>
              <w:t xml:space="preserve">, </w:t>
            </w:r>
            <w:r>
              <w:rPr>
                <w:rtl w:val="true"/>
              </w:rPr>
              <w:t>وذلك كله بما ينسجم مع استقرار وثبات الاقتصاد وتحقيق الضمان والأمن الاجتماعي</w:t>
            </w:r>
            <w:r>
              <w:rPr>
                <w:rtl w:val="true"/>
              </w:rPr>
              <w:t>.</w:t>
            </w:r>
          </w:p>
          <w:p>
            <w:pPr>
              <w:pStyle w:val="Style11"/>
              <w:spacing w:lineRule="auto" w:line="240" w:before="120" w:after="0"/>
              <w:rPr/>
            </w:pPr>
            <w:r>
              <w:rPr>
                <w:rtl w:val="true"/>
              </w:rPr>
            </w:r>
          </w:p>
          <w:p>
            <w:pPr>
              <w:pStyle w:val="Style10"/>
              <w:spacing w:lineRule="auto" w:line="240" w:before="0" w:after="0"/>
              <w:rPr/>
            </w:pPr>
            <w:r>
              <w:rPr>
                <w:rtl w:val="true"/>
              </w:rPr>
              <w:t xml:space="preserve">مادة </w:t>
            </w:r>
            <w:r>
              <w:rPr/>
              <w:t>6</w:t>
            </w:r>
            <w:r>
              <w:rPr>
                <w:rtl w:val="true"/>
              </w:rPr>
              <w:t xml:space="preserve"> </w:t>
            </w:r>
          </w:p>
          <w:p>
            <w:pPr>
              <w:pStyle w:val="Style11"/>
              <w:spacing w:lineRule="auto" w:line="240" w:before="120" w:after="0"/>
              <w:rPr/>
            </w:pPr>
            <w:r>
              <w:rPr>
                <w:rtl w:val="true"/>
              </w:rPr>
              <w:t>تتم إعادة هيكلة المشروعات المراد خصخصتها</w:t>
            </w:r>
            <w:r>
              <w:rPr>
                <w:rtl w:val="true"/>
              </w:rPr>
              <w:t xml:space="preserve">, </w:t>
            </w:r>
            <w:r>
              <w:rPr>
                <w:rtl w:val="true"/>
              </w:rPr>
              <w:t>وفق الأساليب التي يراها مجلس الوزراء</w:t>
            </w:r>
            <w:r>
              <w:rPr>
                <w:rtl w:val="true"/>
              </w:rPr>
              <w:t xml:space="preserve">, </w:t>
            </w:r>
            <w:r>
              <w:rPr>
                <w:rtl w:val="true"/>
              </w:rPr>
              <w:t>بما يتفق مع الاتجاهات العالمية في هذا الشأن</w:t>
            </w:r>
            <w:r>
              <w:rPr>
                <w:rtl w:val="true"/>
              </w:rPr>
              <w:t>.</w:t>
            </w:r>
          </w:p>
          <w:p>
            <w:pPr>
              <w:pStyle w:val="Style11"/>
              <w:spacing w:lineRule="auto" w:line="240" w:before="120" w:after="0"/>
              <w:rPr/>
            </w:pPr>
            <w:r>
              <w:rPr>
                <w:rtl w:val="true"/>
              </w:rPr>
            </w:r>
          </w:p>
          <w:p>
            <w:pPr>
              <w:pStyle w:val="Style10"/>
              <w:spacing w:lineRule="auto" w:line="240" w:before="0" w:after="0"/>
              <w:rPr/>
            </w:pPr>
            <w:r>
              <w:rPr>
                <w:rtl w:val="true"/>
              </w:rPr>
              <w:t xml:space="preserve">مادة </w:t>
            </w:r>
            <w:r>
              <w:rPr/>
              <w:t>7</w:t>
            </w:r>
            <w:r>
              <w:rPr>
                <w:rtl w:val="true"/>
              </w:rPr>
              <w:t xml:space="preserve"> </w:t>
            </w:r>
          </w:p>
          <w:p>
            <w:pPr>
              <w:pStyle w:val="Style11"/>
              <w:spacing w:lineRule="auto" w:line="240" w:before="120" w:after="360"/>
              <w:rPr/>
            </w:pPr>
            <w:r>
              <w:rPr>
                <w:rtl w:val="true"/>
              </w:rPr>
              <w:t>يودع العائد المالي الناتج عن عمليات الخصخصة في الاحتياط العام للدولة</w:t>
            </w:r>
            <w:r>
              <w:rPr>
                <w:rtl w:val="true"/>
              </w:rPr>
              <w:t xml:space="preserve">, </w:t>
            </w:r>
            <w:r>
              <w:rPr>
                <w:rtl w:val="true"/>
              </w:rPr>
              <w:t>على أن يستخدم هذا العائد بقرار من مجلس الوزراء وبصفة خاصة في الأغراض الآتية</w:t>
            </w:r>
            <w:r>
              <w:rPr>
                <w:rtl w:val="true"/>
              </w:rPr>
              <w:t>:</w:t>
            </w:r>
          </w:p>
          <w:p>
            <w:pPr>
              <w:pStyle w:val="Style11"/>
              <w:numPr>
                <w:ilvl w:val="0"/>
                <w:numId w:val="1"/>
              </w:numPr>
              <w:spacing w:lineRule="auto" w:line="240" w:before="120" w:after="320"/>
              <w:rPr/>
            </w:pPr>
            <w:r>
              <w:rPr>
                <w:rtl w:val="true"/>
              </w:rPr>
              <w:t>الصرف على عمليات إعادة هيكلة المشروعات المراد خصخصتها</w:t>
            </w:r>
            <w:r>
              <w:rPr>
                <w:rtl w:val="true"/>
              </w:rPr>
              <w:t xml:space="preserve">, </w:t>
            </w:r>
            <w:r>
              <w:rPr>
                <w:rtl w:val="true"/>
              </w:rPr>
              <w:t>وتحريرها من أية ديون مترتبة عليها</w:t>
            </w:r>
            <w:r>
              <w:rPr>
                <w:rtl w:val="true"/>
              </w:rPr>
              <w:t>.</w:t>
            </w:r>
          </w:p>
          <w:p>
            <w:pPr>
              <w:pStyle w:val="Style11"/>
              <w:numPr>
                <w:ilvl w:val="0"/>
                <w:numId w:val="1"/>
              </w:numPr>
              <w:spacing w:lineRule="auto" w:line="240" w:before="120" w:after="0"/>
              <w:rPr/>
            </w:pPr>
            <w:r>
              <w:rPr>
                <w:rtl w:val="true"/>
              </w:rPr>
              <w:t>تمويل إنشاء مشاريع اقتصادية جديدة تسهم في تحقيق التنمية</w:t>
            </w:r>
            <w:r>
              <w:rPr>
                <w:rtl w:val="true"/>
              </w:rPr>
              <w:t>.</w:t>
            </w:r>
          </w:p>
          <w:p>
            <w:pPr>
              <w:pStyle w:val="Style11"/>
              <w:numPr>
                <w:ilvl w:val="0"/>
                <w:numId w:val="1"/>
              </w:numPr>
              <w:spacing w:lineRule="auto" w:line="240" w:before="120" w:after="320"/>
              <w:rPr/>
            </w:pPr>
            <w:r>
              <w:rPr>
                <w:rtl w:val="true"/>
              </w:rPr>
              <w:t>تمويل إعادة تأهيل العاملين في المشروعات التي تمت خصخصتها</w:t>
            </w:r>
            <w:r>
              <w:rPr>
                <w:rtl w:val="true"/>
              </w:rPr>
              <w:t xml:space="preserve">, </w:t>
            </w:r>
            <w:r>
              <w:rPr>
                <w:rtl w:val="true"/>
              </w:rPr>
              <w:t>وتسوية حقوقهم المالية</w:t>
            </w:r>
            <w:r>
              <w:rPr>
                <w:rtl w:val="true"/>
              </w:rPr>
              <w:t>.</w:t>
            </w:r>
          </w:p>
          <w:p>
            <w:pPr>
              <w:pStyle w:val="Style11"/>
              <w:spacing w:lineRule="auto" w:line="240" w:before="120" w:after="0"/>
              <w:rPr/>
            </w:pPr>
            <w:r>
              <w:rPr>
                <w:rtl w:val="true"/>
              </w:rPr>
            </w:r>
          </w:p>
          <w:p>
            <w:pPr>
              <w:pStyle w:val="Style10"/>
              <w:spacing w:lineRule="auto" w:line="240" w:before="0" w:after="0"/>
              <w:rPr/>
            </w:pPr>
            <w:r>
              <w:rPr>
                <w:rtl w:val="true"/>
              </w:rPr>
              <w:t xml:space="preserve">مادة </w:t>
            </w:r>
            <w:r>
              <w:rPr/>
              <w:t>8</w:t>
            </w:r>
            <w:r>
              <w:rPr>
                <w:rtl w:val="true"/>
              </w:rPr>
              <w:t xml:space="preserve"> </w:t>
            </w:r>
          </w:p>
          <w:p>
            <w:pPr>
              <w:pStyle w:val="Style11"/>
              <w:spacing w:lineRule="auto" w:line="240" w:before="120" w:after="320"/>
              <w:rPr/>
            </w:pPr>
            <w:r>
              <w:rPr>
                <w:rtl w:val="true"/>
              </w:rPr>
              <w:t>يجوز لمجلس الوزراء إنشاء سهم خاص تلحق به بعض الحقوق الخاصة بهدف حماية المصالح الوطنية</w:t>
            </w:r>
            <w:r>
              <w:rPr>
                <w:rtl w:val="true"/>
              </w:rPr>
              <w:t xml:space="preserve">, </w:t>
            </w:r>
            <w:r>
              <w:rPr>
                <w:rtl w:val="true"/>
              </w:rPr>
              <w:t>وذلك استثناء من القواعد العامة التي تطبق على الشركات</w:t>
            </w:r>
            <w:r>
              <w:rPr>
                <w:rtl w:val="true"/>
              </w:rPr>
              <w:t>.</w:t>
            </w:r>
          </w:p>
          <w:p>
            <w:pPr>
              <w:pStyle w:val="Style11"/>
              <w:spacing w:lineRule="auto" w:line="240" w:before="120" w:after="0"/>
              <w:rPr/>
            </w:pPr>
            <w:r>
              <w:rPr>
                <w:rtl w:val="true"/>
              </w:rPr>
            </w:r>
          </w:p>
          <w:p>
            <w:pPr>
              <w:pStyle w:val="Style10"/>
              <w:spacing w:lineRule="auto" w:line="240" w:before="0" w:after="0"/>
              <w:rPr/>
            </w:pPr>
            <w:r>
              <w:rPr>
                <w:rtl w:val="true"/>
              </w:rPr>
              <w:t xml:space="preserve">مادة </w:t>
            </w:r>
            <w:r>
              <w:rPr/>
              <w:t>9</w:t>
            </w:r>
            <w:r>
              <w:rPr>
                <w:rtl w:val="true"/>
              </w:rPr>
              <w:t xml:space="preserve"> </w:t>
            </w:r>
          </w:p>
          <w:p>
            <w:pPr>
              <w:pStyle w:val="Style11"/>
              <w:spacing w:lineRule="auto" w:line="240" w:before="120" w:after="320"/>
              <w:rPr/>
            </w:pPr>
            <w:r>
              <w:rPr>
                <w:rtl w:val="true"/>
              </w:rPr>
              <w:t>على الوزراء – كل فيما يخصه – تنفيذ هذا القانون</w:t>
            </w:r>
            <w:r>
              <w:rPr>
                <w:rtl w:val="true"/>
              </w:rPr>
              <w:t xml:space="preserve">, </w:t>
            </w:r>
            <w:r>
              <w:rPr>
                <w:rtl w:val="true"/>
              </w:rPr>
              <w:t>ويعمل به من تاريخ نشره في الجريدة الرسمية</w:t>
            </w:r>
            <w:r>
              <w:rPr>
                <w:rtl w:val="true"/>
              </w:rPr>
              <w:t>.</w:t>
            </w:r>
          </w:p>
          <w:p>
            <w:pPr>
              <w:pStyle w:val="Style11"/>
              <w:spacing w:lineRule="auto" w:line="240" w:before="120" w:after="0"/>
              <w:rPr/>
            </w:pPr>
            <w:r>
              <w:rPr>
                <w:rtl w:val="true"/>
              </w:rPr>
            </w:r>
          </w:p>
          <w:p>
            <w:pPr>
              <w:pStyle w:val="Style11"/>
              <w:spacing w:lineRule="auto" w:line="240" w:before="0" w:after="0"/>
              <w:rPr/>
            </w:pPr>
            <w:r>
              <w:rPr>
                <w:rtl w:val="true"/>
              </w:rPr>
              <w:t>ملك مملكة البحرين</w:t>
            </w:r>
          </w:p>
          <w:p>
            <w:pPr>
              <w:pStyle w:val="Style11"/>
              <w:spacing w:lineRule="auto" w:line="240" w:before="0" w:after="0"/>
              <w:rPr/>
            </w:pPr>
            <w:r>
              <w:rPr>
                <w:rtl w:val="true"/>
              </w:rPr>
              <w:t>حمد بن عيسى آل خليفة</w:t>
            </w:r>
          </w:p>
          <w:p>
            <w:pPr>
              <w:pStyle w:val="Style11"/>
              <w:spacing w:lineRule="auto" w:line="240" w:before="120" w:after="0"/>
              <w:rPr/>
            </w:pPr>
            <w:r>
              <w:rPr>
                <w:rtl w:val="true"/>
              </w:rPr>
              <w:t>رئيس مجلس الوزراء</w:t>
            </w:r>
          </w:p>
          <w:p>
            <w:pPr>
              <w:pStyle w:val="Style11"/>
              <w:spacing w:lineRule="auto" w:line="240" w:before="0" w:after="0"/>
              <w:rPr/>
            </w:pPr>
            <w:r>
              <w:rPr>
                <w:rtl w:val="true"/>
              </w:rPr>
              <w:t>خليفة بن سلمان آل خليفة</w:t>
            </w:r>
          </w:p>
          <w:p>
            <w:pPr>
              <w:pStyle w:val="Style11"/>
              <w:spacing w:lineRule="auto" w:line="240" w:before="120" w:after="0"/>
              <w:rPr/>
            </w:pPr>
            <w:r>
              <w:rPr>
                <w:rtl w:val="true"/>
              </w:rPr>
              <w:t>وزير المالية والاقتصاد الوطني</w:t>
            </w:r>
          </w:p>
          <w:p>
            <w:pPr>
              <w:pStyle w:val="Style11"/>
              <w:spacing w:lineRule="auto" w:line="240" w:before="0" w:after="0"/>
              <w:rPr/>
            </w:pPr>
            <w:r>
              <w:rPr>
                <w:rtl w:val="true"/>
              </w:rPr>
              <w:t>عبدالله بن حسن سيف</w:t>
            </w:r>
          </w:p>
          <w:p>
            <w:pPr>
              <w:pStyle w:val="Style11"/>
              <w:spacing w:lineRule="auto" w:line="240" w:before="120" w:after="0"/>
              <w:rPr/>
            </w:pPr>
            <w:r>
              <w:rPr>
                <w:rtl w:val="true"/>
              </w:rPr>
              <w:t>صدر في قصر الرفاع</w:t>
            </w:r>
            <w:r>
              <w:rPr>
                <w:rtl w:val="true"/>
              </w:rPr>
              <w:t>:</w:t>
            </w:r>
          </w:p>
          <w:p>
            <w:pPr>
              <w:pStyle w:val="Style11"/>
              <w:spacing w:lineRule="auto" w:line="240" w:before="0" w:after="0"/>
              <w:rPr/>
            </w:pPr>
            <w:r>
              <w:rPr>
                <w:rtl w:val="true"/>
              </w:rPr>
              <w:t xml:space="preserve">بتاريخ </w:t>
            </w:r>
            <w:r>
              <w:rPr/>
              <w:t>8</w:t>
            </w:r>
            <w:r>
              <w:rPr>
                <w:rtl w:val="true"/>
              </w:rPr>
              <w:t xml:space="preserve"> </w:t>
            </w:r>
            <w:r>
              <w:rPr>
                <w:rtl w:val="true"/>
              </w:rPr>
              <w:t xml:space="preserve">شعبان   </w:t>
            </w:r>
            <w:r>
              <w:rPr/>
              <w:t>1423</w:t>
            </w:r>
            <w:r>
              <w:rPr>
                <w:rtl w:val="true"/>
              </w:rPr>
              <w:t>هـ</w:t>
            </w:r>
          </w:p>
          <w:p>
            <w:pPr>
              <w:pStyle w:val="Style11"/>
              <w:spacing w:lineRule="auto" w:line="240" w:before="0" w:after="0"/>
              <w:rPr/>
            </w:pPr>
            <w:r>
              <w:rPr>
                <w:rtl w:val="true"/>
              </w:rPr>
              <w:t xml:space="preserve">الموافق  </w:t>
            </w:r>
            <w:r>
              <w:rPr/>
              <w:t>14</w:t>
            </w:r>
            <w:r>
              <w:rPr>
                <w:rtl w:val="true"/>
              </w:rPr>
              <w:t xml:space="preserve"> </w:t>
            </w:r>
            <w:r>
              <w:rPr>
                <w:rtl w:val="true"/>
              </w:rPr>
              <w:t xml:space="preserve">أكتوبر   </w:t>
            </w:r>
            <w:r>
              <w:rPr/>
              <w:t>2002</w:t>
            </w:r>
            <w:r>
              <w:rPr>
                <w:rtl w:val="true"/>
              </w:rPr>
              <w:t>م</w:t>
            </w:r>
          </w:p>
        </w:tc>
      </w:tr>
    </w:tbl>
    <w:p>
      <w:pPr>
        <w:pStyle w:val="Normal"/>
        <w:spacing w:before="120" w:after="120"/>
        <w:rPr/>
      </w:pPr>
      <w:r>
        <w:rPr/>
      </w:r>
    </w:p>
    <w:sectPr>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32" w:hanging="37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Heading3Char"/>
    <w:uiPriority w:val="9"/>
    <w:semiHidden/>
    <w:unhideWhenUsed/>
    <w:qFormat/>
    <w:rsid w:val="0028747d"/>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fd0069"/>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444cea"/>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Heading3Char" w:customStyle="1">
    <w:name w:val="Heading 3 Char"/>
    <w:basedOn w:val="DefaultParagraphFont"/>
    <w:link w:val="Heading3"/>
    <w:uiPriority w:val="9"/>
    <w:semiHidden/>
    <w:qFormat/>
    <w:rsid w:val="0028747d"/>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Internetverknpfung">
    <w:name w:val="Internetverknüpfung"/>
    <w:basedOn w:val="DefaultParagraphFont"/>
    <w:uiPriority w:val="99"/>
    <w:unhideWhenUsed/>
    <w:rsid w:val="0067269c"/>
    <w:rPr>
      <w:color w:val="0563C1" w:themeColor="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semiHidden/>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fd0069"/>
    <w:pPr>
      <w:spacing w:lineRule="exact" w:line="200" w:beforeAutospacing="0" w:before="120" w:afterAutospacing="0" w:after="120"/>
    </w:pPr>
    <w:rPr>
      <w:rFonts w:cs="Sakkal Majalla"/>
      <w:b/>
      <w:bCs/>
    </w:rPr>
  </w:style>
  <w:style w:type="paragraph" w:styleId="Style10" w:customStyle="1">
    <w:name w:val="العنوان"/>
    <w:basedOn w:val="Titltels"/>
    <w:link w:val="Char"/>
    <w:autoRedefine/>
    <w:qFormat/>
    <w:rsid w:val="00444cea"/>
    <w:pPr>
      <w:bidi w:val="1"/>
      <w:spacing w:lineRule="exact" w:line="220" w:before="0" w:after="120"/>
      <w:jc w:val="left"/>
    </w:pPr>
    <w:rPr>
      <w:sz w:val="22"/>
      <w:szCs w:val="22"/>
    </w:rPr>
  </w:style>
  <w:style w:type="paragraph" w:styleId="Style11"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customXml/itemProps2.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4</Pages>
  <Words>923</Words>
  <Characters>4836</Characters>
  <CharactersWithSpaces>5735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2023-01-09T11:43:00Z</dcterms:created>
  <dc:creator>Mariam Hussain Alawadhi</dc:creator>
  <dc:description/>
  <dc:language>de-DE</dc:language>
  <cp:lastModifiedBy/>
  <cp:lastPrinted>2023-01-04T10:23:00Z</cp:lastPrinted>
  <dcterms:modified xsi:type="dcterms:W3CDTF">2023-11-12T17:22:25Z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