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14:paraId="7B4C03D7" w14:textId="77777777" w:rsidTr="00FB00F2">
        <w:trPr>
          <w:trHeight w:val="2974"/>
        </w:trPr>
        <w:tc>
          <w:tcPr>
            <w:tcW w:w="7530" w:type="dxa"/>
            <w:tcBorders>
              <w:top w:val="nil"/>
              <w:left w:val="nil"/>
              <w:bottom w:val="nil"/>
              <w:right w:val="nil"/>
            </w:tcBorders>
            <w:vAlign w:val="center"/>
          </w:tcPr>
          <w:p w14:paraId="718CA4EB" w14:textId="2C66CB1A" w:rsidR="000637E0" w:rsidRPr="00E14E12" w:rsidRDefault="007A35F8" w:rsidP="007A35F8">
            <w:pPr>
              <w:jc w:val="center"/>
              <w:rPr>
                <w:b/>
                <w:bCs/>
                <w:sz w:val="36"/>
                <w:szCs w:val="36"/>
                <w:lang w:val="en-GB"/>
              </w:rPr>
            </w:pPr>
            <w:r w:rsidRPr="007A35F8">
              <w:rPr>
                <w:b/>
                <w:bCs/>
                <w:sz w:val="36"/>
                <w:szCs w:val="36"/>
                <w:lang w:val="en-GB"/>
              </w:rPr>
              <w:t>Sales and Rental of Business</w:t>
            </w:r>
            <w:r>
              <w:rPr>
                <w:rFonts w:hint="cs"/>
                <w:b/>
                <w:bCs/>
                <w:sz w:val="36"/>
                <w:szCs w:val="36"/>
                <w:rtl/>
                <w:lang w:val="en-GB"/>
              </w:rPr>
              <w:t xml:space="preserve"> </w:t>
            </w:r>
            <w:r w:rsidR="000637E0" w:rsidRPr="00E14E12">
              <w:rPr>
                <w:b/>
                <w:bCs/>
                <w:sz w:val="36"/>
                <w:szCs w:val="36"/>
                <w:lang w:val="en-GB"/>
              </w:rPr>
              <w:t>Law</w:t>
            </w:r>
          </w:p>
        </w:tc>
        <w:tc>
          <w:tcPr>
            <w:tcW w:w="7672" w:type="dxa"/>
            <w:tcBorders>
              <w:top w:val="nil"/>
              <w:left w:val="nil"/>
              <w:bottom w:val="nil"/>
              <w:right w:val="nil"/>
            </w:tcBorders>
            <w:vAlign w:val="center"/>
          </w:tcPr>
          <w:p w14:paraId="3B9FC4C1" w14:textId="2EBD9B12" w:rsidR="000637E0" w:rsidRPr="00543DAD" w:rsidRDefault="000637E0" w:rsidP="00543DAD">
            <w:pPr>
              <w:pStyle w:val="titltels"/>
              <w:jc w:val="center"/>
              <w:rPr>
                <w:sz w:val="36"/>
                <w:szCs w:val="36"/>
                <w:rtl/>
                <w:lang w:val="en-GB" w:bidi="ar-BH"/>
              </w:rPr>
            </w:pPr>
            <w:r w:rsidRPr="00E14E12">
              <w:rPr>
                <w:rFonts w:hint="cs"/>
                <w:sz w:val="36"/>
                <w:szCs w:val="36"/>
                <w:rtl/>
                <w:lang w:bidi="ar-BH"/>
              </w:rPr>
              <w:t xml:space="preserve">قانون </w:t>
            </w:r>
            <w:r w:rsidR="00543DAD" w:rsidRPr="00543DAD">
              <w:rPr>
                <w:sz w:val="36"/>
                <w:szCs w:val="36"/>
                <w:rtl/>
              </w:rPr>
              <w:t>الأحكام المتعلقة ببيع وتأجير المحال التجارية</w:t>
            </w:r>
          </w:p>
        </w:tc>
      </w:tr>
    </w:tbl>
    <w:p w14:paraId="26C53BD3" w14:textId="797AA4ED" w:rsidR="00FF50C7" w:rsidRDefault="00FF50C7" w:rsidP="00104A9F"/>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44545E8D" w14:textId="77777777" w:rsidR="00007BCA" w:rsidRDefault="000A3B0A" w:rsidP="00007BCA">
            <w:pPr>
              <w:pStyle w:val="paragrap"/>
              <w:spacing w:before="120" w:beforeAutospacing="0" w:after="120" w:afterAutospacing="0"/>
              <w:jc w:val="center"/>
              <w:rPr>
                <w:sz w:val="28"/>
                <w:szCs w:val="28"/>
                <w:lang w:bidi="ar-BH"/>
              </w:rPr>
            </w:pPr>
            <w:r w:rsidRPr="007A35F8">
              <w:rPr>
                <w:b/>
                <w:bCs/>
                <w:sz w:val="28"/>
                <w:szCs w:val="28"/>
                <w:lang w:val="en-GB" w:bidi="ar-BH"/>
              </w:rPr>
              <w:lastRenderedPageBreak/>
              <w:t>Sales and Rental of Business</w:t>
            </w:r>
            <w:r w:rsidRPr="00033AF4">
              <w:rPr>
                <w:rFonts w:hint="cs"/>
                <w:b/>
                <w:bCs/>
                <w:sz w:val="28"/>
                <w:szCs w:val="28"/>
                <w:rtl/>
              </w:rPr>
              <w:t xml:space="preserve"> </w:t>
            </w:r>
            <w:r w:rsidRPr="00033AF4">
              <w:rPr>
                <w:b/>
                <w:bCs/>
                <w:sz w:val="28"/>
                <w:szCs w:val="28"/>
                <w:lang w:val="en-GB" w:bidi="ar-BH"/>
              </w:rPr>
              <w:t>La</w:t>
            </w:r>
            <w:r w:rsidR="00007BCA">
              <w:rPr>
                <w:b/>
                <w:bCs/>
                <w:sz w:val="28"/>
                <w:szCs w:val="28"/>
                <w:lang w:val="en-GB" w:bidi="ar-BH"/>
              </w:rPr>
              <w:t>w</w:t>
            </w:r>
            <w:r w:rsidRPr="00033AF4">
              <w:rPr>
                <w:vanish/>
                <w:sz w:val="28"/>
                <w:szCs w:val="28"/>
                <w:lang w:bidi="ar-BH"/>
              </w:rPr>
              <w:t xml:space="preserve"> </w:t>
            </w:r>
            <w:r w:rsidR="005418BA" w:rsidRPr="005418BA">
              <w:rPr>
                <w:noProof/>
                <w:vanish/>
                <w:sz w:val="28"/>
                <w:szCs w:val="28"/>
                <w:lang w:bidi="ar-BH"/>
              </w:rPr>
              <w:drawing>
                <wp:inline distT="0" distB="0" distL="0" distR="0" wp14:anchorId="532A014B" wp14:editId="0D808E50">
                  <wp:extent cx="2699385" cy="877570"/>
                  <wp:effectExtent l="0" t="0" r="5715" b="0"/>
                  <wp:docPr id="3" name="Picture 3" descr="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dential"/>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699385" cy="877570"/>
                          </a:xfrm>
                          <a:prstGeom prst="rect">
                            <a:avLst/>
                          </a:prstGeom>
                          <a:noFill/>
                          <a:ln>
                            <a:noFill/>
                          </a:ln>
                        </pic:spPr>
                      </pic:pic>
                    </a:graphicData>
                  </a:graphic>
                </wp:inline>
              </w:drawing>
            </w:r>
          </w:p>
          <w:p w14:paraId="56E75E08" w14:textId="6D49D3EF" w:rsidR="00007BCA" w:rsidRPr="00007BCA" w:rsidRDefault="005418BA" w:rsidP="00007BCA">
            <w:pPr>
              <w:pStyle w:val="paragrap"/>
              <w:spacing w:before="120" w:beforeAutospacing="0" w:after="120" w:afterAutospacing="0"/>
              <w:jc w:val="center"/>
              <w:rPr>
                <w:sz w:val="28"/>
                <w:szCs w:val="28"/>
                <w:lang w:bidi="ar-BH"/>
              </w:rPr>
            </w:pPr>
            <w:r w:rsidRPr="005418BA">
              <w:rPr>
                <w:lang w:bidi="ar-BH"/>
              </w:rPr>
              <w:t>LEGISLATIVE DECREE NO. (1) OF 1987</w:t>
            </w:r>
          </w:p>
          <w:p w14:paraId="5360D7AA" w14:textId="77777777" w:rsidR="005418BA" w:rsidRPr="005418BA" w:rsidRDefault="005418BA" w:rsidP="000A3B0A">
            <w:pPr>
              <w:pStyle w:val="paragrap"/>
              <w:spacing w:before="0" w:beforeAutospacing="0" w:after="0" w:afterAutospacing="0"/>
              <w:jc w:val="center"/>
              <w:rPr>
                <w:lang w:bidi="ar-BH"/>
              </w:rPr>
            </w:pPr>
            <w:r w:rsidRPr="005418BA">
              <w:rPr>
                <w:lang w:bidi="ar-BH"/>
              </w:rPr>
              <w:t>WITH RESPECT TO CERTAIN PROVISIONS RELATING TO</w:t>
            </w:r>
          </w:p>
          <w:p w14:paraId="3C6B4E29" w14:textId="77777777" w:rsidR="00BB1458" w:rsidRDefault="005418BA" w:rsidP="00BB1458">
            <w:pPr>
              <w:pStyle w:val="paragrap"/>
              <w:spacing w:before="0" w:beforeAutospacing="0" w:after="0" w:afterAutospacing="0"/>
              <w:jc w:val="center"/>
              <w:rPr>
                <w:lang w:bidi="ar-BH"/>
              </w:rPr>
            </w:pPr>
            <w:r w:rsidRPr="005418BA">
              <w:rPr>
                <w:lang w:bidi="ar-BH"/>
              </w:rPr>
              <w:t>THS SALE AND RENTAL OF BUSINESSES</w:t>
            </w:r>
          </w:p>
          <w:p w14:paraId="1D37C65E" w14:textId="77777777" w:rsidR="00BB1458" w:rsidRDefault="00BB1458" w:rsidP="00BB1458">
            <w:pPr>
              <w:pStyle w:val="paragrap"/>
              <w:spacing w:before="0" w:beforeAutospacing="0" w:after="0" w:afterAutospacing="0"/>
              <w:jc w:val="center"/>
              <w:rPr>
                <w:lang w:bidi="ar-BH"/>
              </w:rPr>
            </w:pPr>
          </w:p>
          <w:p w14:paraId="53D633F6" w14:textId="430DD9A0" w:rsidR="005418BA" w:rsidRPr="005418BA" w:rsidRDefault="005418BA" w:rsidP="00BB1458">
            <w:pPr>
              <w:pStyle w:val="paragrap"/>
              <w:spacing w:before="0" w:beforeAutospacing="0" w:after="0" w:afterAutospacing="0"/>
              <w:rPr>
                <w:lang w:bidi="ar-BH"/>
              </w:rPr>
            </w:pPr>
            <w:r w:rsidRPr="005418BA">
              <w:rPr>
                <w:lang w:bidi="ar-BH"/>
              </w:rPr>
              <w:t xml:space="preserve">We, </w:t>
            </w:r>
            <w:r w:rsidRPr="005418BA">
              <w:rPr>
                <w:b/>
                <w:bCs/>
                <w:lang w:bidi="ar-BH"/>
              </w:rPr>
              <w:t>Hamad bin Isa Al Khalifa,</w:t>
            </w:r>
            <w:r w:rsidR="00BF3B05">
              <w:rPr>
                <w:b/>
                <w:bCs/>
                <w:lang w:bidi="ar-BH"/>
              </w:rPr>
              <w:t xml:space="preserve"> </w:t>
            </w:r>
            <w:r w:rsidRPr="005418BA">
              <w:rPr>
                <w:b/>
                <w:bCs/>
                <w:lang w:bidi="ar-BH"/>
              </w:rPr>
              <w:t>Deputy Amir of the State of Bahrain</w:t>
            </w:r>
            <w:r w:rsidRPr="005418BA">
              <w:rPr>
                <w:lang w:bidi="ar-BH"/>
              </w:rPr>
              <w:t>,</w:t>
            </w:r>
          </w:p>
          <w:p w14:paraId="5B944A7E" w14:textId="77777777" w:rsidR="005418BA" w:rsidRPr="005418BA" w:rsidRDefault="005418BA" w:rsidP="005D71EB">
            <w:pPr>
              <w:pStyle w:val="paragrap"/>
              <w:spacing w:before="120" w:beforeAutospacing="0" w:after="120" w:afterAutospacing="0"/>
              <w:ind w:left="720"/>
              <w:rPr>
                <w:lang w:bidi="ar-BH"/>
              </w:rPr>
            </w:pPr>
            <w:r w:rsidRPr="005418BA">
              <w:rPr>
                <w:lang w:bidi="ar-BH"/>
              </w:rPr>
              <w:t xml:space="preserve">having examined the Constitution, </w:t>
            </w:r>
          </w:p>
          <w:p w14:paraId="62FAB3B7" w14:textId="33F7C679" w:rsidR="005418BA" w:rsidRPr="005418BA" w:rsidRDefault="005418BA" w:rsidP="005D71EB">
            <w:pPr>
              <w:pStyle w:val="paragrap"/>
              <w:spacing w:before="120" w:beforeAutospacing="0" w:after="120" w:afterAutospacing="0"/>
              <w:ind w:left="720"/>
              <w:rPr>
                <w:lang w:bidi="ar-BH"/>
              </w:rPr>
            </w:pPr>
            <w:proofErr w:type="spellStart"/>
            <w:r w:rsidRPr="005418BA">
              <w:rPr>
                <w:lang w:bidi="ar-BH"/>
              </w:rPr>
              <w:t>andAmiri</w:t>
            </w:r>
            <w:proofErr w:type="spellEnd"/>
            <w:r w:rsidRPr="005418BA">
              <w:rPr>
                <w:lang w:bidi="ar-BH"/>
              </w:rPr>
              <w:t xml:space="preserve"> Order No.4 of 1975,</w:t>
            </w:r>
            <w:r w:rsidR="00BF3B05">
              <w:rPr>
                <w:lang w:bidi="ar-BH"/>
              </w:rPr>
              <w:t xml:space="preserve"> </w:t>
            </w:r>
          </w:p>
          <w:p w14:paraId="46CD5B8E" w14:textId="77777777" w:rsidR="005418BA" w:rsidRPr="005418BA" w:rsidRDefault="005418BA" w:rsidP="005D71EB">
            <w:pPr>
              <w:pStyle w:val="paragrap"/>
              <w:spacing w:before="120" w:beforeAutospacing="0" w:after="120" w:afterAutospacing="0"/>
              <w:ind w:left="720"/>
              <w:rPr>
                <w:lang w:bidi="ar-BH"/>
              </w:rPr>
            </w:pPr>
            <w:proofErr w:type="spellStart"/>
            <w:r w:rsidRPr="005418BA">
              <w:rPr>
                <w:lang w:bidi="ar-BH"/>
              </w:rPr>
              <w:t>andAmiri</w:t>
            </w:r>
            <w:proofErr w:type="spellEnd"/>
            <w:r w:rsidRPr="005418BA">
              <w:rPr>
                <w:lang w:bidi="ar-BH"/>
              </w:rPr>
              <w:t xml:space="preserve"> Order No.3 of 1987,</w:t>
            </w:r>
          </w:p>
          <w:p w14:paraId="4F3E3BE3" w14:textId="77777777" w:rsidR="005418BA" w:rsidRPr="005418BA" w:rsidRDefault="005418BA" w:rsidP="005D71EB">
            <w:pPr>
              <w:pStyle w:val="paragrap"/>
              <w:spacing w:before="120" w:beforeAutospacing="0" w:after="120" w:afterAutospacing="0"/>
              <w:ind w:left="720"/>
              <w:rPr>
                <w:lang w:bidi="ar-BH"/>
              </w:rPr>
            </w:pPr>
            <w:r w:rsidRPr="005418BA">
              <w:rPr>
                <w:lang w:bidi="ar-BH"/>
              </w:rPr>
              <w:t>and Legislative Decree No.1 (Financial)1961 with respect to the Establishment of the Register of Commerce, as amended by Legislative Decree No.34 of 1976, and Legislative Decree No.12 of 1978, and its Implementing Regulations,</w:t>
            </w:r>
          </w:p>
          <w:p w14:paraId="218C637C" w14:textId="77777777" w:rsidR="005418BA" w:rsidRPr="005418BA" w:rsidRDefault="005418BA" w:rsidP="005D71EB">
            <w:pPr>
              <w:pStyle w:val="paragrap"/>
              <w:spacing w:before="120" w:beforeAutospacing="0" w:after="120" w:afterAutospacing="0"/>
              <w:ind w:left="720"/>
              <w:rPr>
                <w:lang w:bidi="ar-BH"/>
              </w:rPr>
            </w:pPr>
            <w:r w:rsidRPr="005418BA">
              <w:rPr>
                <w:lang w:bidi="ar-BH"/>
              </w:rPr>
              <w:t>and Legislative Decree No.28 of 1975 with respect to Promulgating the Commercial Companies Law, and Laws in amendment thereof,</w:t>
            </w:r>
          </w:p>
          <w:p w14:paraId="21D154BB" w14:textId="77777777" w:rsidR="005418BA" w:rsidRPr="005418BA" w:rsidRDefault="005418BA" w:rsidP="005D71EB">
            <w:pPr>
              <w:pStyle w:val="paragrap"/>
              <w:spacing w:before="120" w:beforeAutospacing="0" w:after="120" w:afterAutospacing="0"/>
              <w:ind w:left="720"/>
              <w:rPr>
                <w:lang w:bidi="ar-BH"/>
              </w:rPr>
            </w:pPr>
            <w:r w:rsidRPr="005418BA">
              <w:rPr>
                <w:lang w:bidi="ar-BH"/>
              </w:rPr>
              <w:t>and upon the submission of the Minister for Commerce and Agriculture,</w:t>
            </w:r>
          </w:p>
          <w:p w14:paraId="76AC44C0" w14:textId="77777777" w:rsidR="005418BA" w:rsidRPr="005418BA" w:rsidRDefault="005418BA" w:rsidP="005D71EB">
            <w:pPr>
              <w:pStyle w:val="paragrap"/>
              <w:spacing w:before="120" w:beforeAutospacing="0" w:after="120" w:afterAutospacing="0"/>
              <w:ind w:left="720"/>
              <w:rPr>
                <w:lang w:bidi="ar-BH"/>
              </w:rPr>
            </w:pPr>
            <w:r w:rsidRPr="005418BA">
              <w:rPr>
                <w:lang w:bidi="ar-BH"/>
              </w:rPr>
              <w:t xml:space="preserve">and with the approval of the Council of Ministers, </w:t>
            </w:r>
          </w:p>
          <w:p w14:paraId="41B2D29A" w14:textId="516EA066" w:rsidR="005418BA" w:rsidRPr="005418BA" w:rsidRDefault="005418BA" w:rsidP="00C360B3">
            <w:pPr>
              <w:pStyle w:val="paragrap"/>
              <w:rPr>
                <w:lang w:bidi="ar-BH"/>
              </w:rPr>
            </w:pPr>
            <w:r w:rsidRPr="005418BA">
              <w:rPr>
                <w:lang w:bidi="ar-BH"/>
              </w:rPr>
              <w:t>HEREBY ENACT THE FOLLOWING LAW:</w:t>
            </w:r>
          </w:p>
          <w:p w14:paraId="30C761DF" w14:textId="77777777" w:rsidR="0069576D" w:rsidRDefault="0069576D" w:rsidP="00416E63">
            <w:pPr>
              <w:pStyle w:val="titltels"/>
              <w:rPr>
                <w:lang w:bidi="ar-BH"/>
              </w:rPr>
            </w:pPr>
          </w:p>
          <w:p w14:paraId="04462A87" w14:textId="71C1BEF3" w:rsidR="005418BA" w:rsidRPr="005418BA" w:rsidRDefault="005418BA" w:rsidP="00416E63">
            <w:pPr>
              <w:pStyle w:val="titltels"/>
              <w:rPr>
                <w:lang w:bidi="ar-BH"/>
              </w:rPr>
            </w:pPr>
            <w:r w:rsidRPr="005418BA">
              <w:rPr>
                <w:lang w:bidi="ar-BH"/>
              </w:rPr>
              <w:t>Article 1</w:t>
            </w:r>
          </w:p>
          <w:p w14:paraId="556D880B" w14:textId="08A027E1" w:rsidR="005418BA" w:rsidRPr="005418BA" w:rsidRDefault="005418BA" w:rsidP="00DF04CE">
            <w:pPr>
              <w:pStyle w:val="paragrap"/>
              <w:spacing w:line="200" w:lineRule="exact"/>
              <w:rPr>
                <w:lang w:bidi="ar-BH"/>
              </w:rPr>
            </w:pPr>
            <w:r w:rsidRPr="005418BA">
              <w:rPr>
                <w:lang w:bidi="ar-BH"/>
              </w:rPr>
              <w:t>It shall be strictly prohibited for any trader, whether an individual or a company, registered in the Register of Commerce to sell the Commercial Registration or rent it out without covering the business premises for which the commercial registration has been issued in the sale contract or lease agreement.</w:t>
            </w:r>
            <w:r w:rsidR="00BF3B05">
              <w:rPr>
                <w:lang w:bidi="ar-BH"/>
              </w:rPr>
              <w:t xml:space="preserve"> </w:t>
            </w:r>
            <w:r w:rsidRPr="005418BA">
              <w:rPr>
                <w:lang w:bidi="ar-BH"/>
              </w:rPr>
              <w:t>It shall also be strictly prohibited for any trader whether an individual or a company, re</w:t>
            </w:r>
            <w:r w:rsidRPr="005418BA">
              <w:rPr>
                <w:lang w:bidi="ar-BH"/>
              </w:rPr>
              <w:softHyphen/>
              <w:t>gistered in the Register of Commerce to sell or rent the Commercial Registra</w:t>
            </w:r>
            <w:r w:rsidRPr="005418BA">
              <w:rPr>
                <w:lang w:bidi="ar-BH"/>
              </w:rPr>
              <w:softHyphen/>
              <w:t>tion or rent out his business premises to a foreigner.</w:t>
            </w:r>
          </w:p>
          <w:p w14:paraId="339903C5" w14:textId="77777777" w:rsidR="0069576D" w:rsidRDefault="0069576D" w:rsidP="00416E63">
            <w:pPr>
              <w:pStyle w:val="titltels"/>
              <w:rPr>
                <w:lang w:bidi="ar-BH"/>
              </w:rPr>
            </w:pPr>
          </w:p>
          <w:p w14:paraId="6608E6A2" w14:textId="6C026992" w:rsidR="005418BA" w:rsidRPr="005418BA" w:rsidRDefault="005418BA" w:rsidP="00416E63">
            <w:pPr>
              <w:pStyle w:val="titltels"/>
              <w:rPr>
                <w:lang w:bidi="ar-BH"/>
              </w:rPr>
            </w:pPr>
            <w:r w:rsidRPr="005418BA">
              <w:rPr>
                <w:lang w:bidi="ar-BH"/>
              </w:rPr>
              <w:t>Article 2</w:t>
            </w:r>
          </w:p>
          <w:p w14:paraId="7E84D07B" w14:textId="782FE6BD" w:rsidR="005418BA" w:rsidRPr="005418BA" w:rsidRDefault="005418BA" w:rsidP="00DF04CE">
            <w:pPr>
              <w:pStyle w:val="paragrap"/>
              <w:spacing w:line="200" w:lineRule="exact"/>
              <w:rPr>
                <w:lang w:bidi="ar-BH"/>
              </w:rPr>
            </w:pPr>
            <w:r w:rsidRPr="005418BA">
              <w:rPr>
                <w:lang w:bidi="ar-BH"/>
              </w:rPr>
              <w:t>In case of committing a violation of the provisions of Article 1, the Ministry of Commerce and Agriculture shall notify the trader concerned of the violation and shall give him a period of at least one week for re</w:t>
            </w:r>
            <w:r w:rsidRPr="005418BA">
              <w:rPr>
                <w:lang w:bidi="ar-BH"/>
              </w:rPr>
              <w:softHyphen/>
              <w:t>moving the causes of the violation.</w:t>
            </w:r>
            <w:r w:rsidR="00BF3B05">
              <w:rPr>
                <w:lang w:bidi="ar-BH"/>
              </w:rPr>
              <w:t xml:space="preserve"> </w:t>
            </w:r>
            <w:r w:rsidRPr="005418BA">
              <w:rPr>
                <w:lang w:bidi="ar-BH"/>
              </w:rPr>
              <w:t>In addition to giving a warning to a trader, the Ministry of Commerce and Agriculture shall be empowered to order the administrative closure of the business premises.</w:t>
            </w:r>
          </w:p>
          <w:p w14:paraId="3215EF9D" w14:textId="78CABA49" w:rsidR="005418BA" w:rsidRPr="005418BA" w:rsidRDefault="005418BA" w:rsidP="008E2A21">
            <w:pPr>
              <w:pStyle w:val="paragrap"/>
              <w:spacing w:line="200" w:lineRule="exact"/>
              <w:rPr>
                <w:lang w:bidi="ar-BH"/>
              </w:rPr>
            </w:pPr>
            <w:r w:rsidRPr="005418BA">
              <w:rPr>
                <w:lang w:bidi="ar-BH"/>
              </w:rPr>
              <w:lastRenderedPageBreak/>
              <w:t> If the Ministry of Commerce and Agriculture ascertains the removal of the causes of the violation, it shall permit the trader to re-open his business, otherwise it shall refer him to the Public Prosecution to be taken to court in case of the continuation of the violation.</w:t>
            </w:r>
          </w:p>
          <w:p w14:paraId="79C49329" w14:textId="77777777" w:rsidR="0069576D" w:rsidRDefault="0069576D" w:rsidP="00416E63">
            <w:pPr>
              <w:pStyle w:val="titltels"/>
              <w:rPr>
                <w:lang w:bidi="ar-BH"/>
              </w:rPr>
            </w:pPr>
          </w:p>
          <w:p w14:paraId="0E961861" w14:textId="10326E77" w:rsidR="005418BA" w:rsidRPr="005418BA" w:rsidRDefault="005418BA" w:rsidP="00416E63">
            <w:pPr>
              <w:pStyle w:val="titltels"/>
              <w:rPr>
                <w:lang w:bidi="ar-BH"/>
              </w:rPr>
            </w:pPr>
            <w:r w:rsidRPr="005418BA">
              <w:rPr>
                <w:lang w:bidi="ar-BH"/>
              </w:rPr>
              <w:t>Article 3</w:t>
            </w:r>
          </w:p>
          <w:p w14:paraId="2F31F983" w14:textId="77777777" w:rsidR="005418BA" w:rsidRPr="005418BA" w:rsidRDefault="005418BA" w:rsidP="00CA153B">
            <w:pPr>
              <w:pStyle w:val="paragrap"/>
              <w:spacing w:line="200" w:lineRule="exact"/>
              <w:rPr>
                <w:lang w:bidi="ar-BH"/>
              </w:rPr>
            </w:pPr>
            <w:r w:rsidRPr="005418BA">
              <w:rPr>
                <w:lang w:bidi="ar-BH"/>
              </w:rPr>
              <w:t>Every trader who has received a warning for contravening the pro</w:t>
            </w:r>
            <w:r w:rsidRPr="005418BA">
              <w:rPr>
                <w:lang w:bidi="ar-BH"/>
              </w:rPr>
              <w:softHyphen/>
              <w:t>visions of Article 1 of this Law but has failed to remove the causes of the violation within the period specified by the Ministry of Commerce and Agriculture, and every trader who has committed yet another violation of the provisions of this Article, in spite of having been given an earlier warning in accordance with Article 2 of this Law, shall be liable for imprisonment for a period not ex</w:t>
            </w:r>
            <w:r w:rsidRPr="005418BA">
              <w:rPr>
                <w:lang w:bidi="ar-BH"/>
              </w:rPr>
              <w:softHyphen/>
              <w:t>ceeding one year and a fine not exceeding BD1,000 or either penalty, in addition to passing a judgement for striking off his registration from the Register of Commerce and closing the business premises where the violation has taken place whilst providing in the judge</w:t>
            </w:r>
            <w:r w:rsidRPr="005418BA">
              <w:rPr>
                <w:lang w:bidi="ar-BH"/>
              </w:rPr>
              <w:softHyphen/>
              <w:t>ment for publishing the full text of the judgement in the Official Gazette at his expense.</w:t>
            </w:r>
          </w:p>
          <w:p w14:paraId="2B3DD9E1" w14:textId="6EC97257" w:rsidR="005418BA" w:rsidRPr="005418BA" w:rsidRDefault="005418BA" w:rsidP="00CA153B">
            <w:pPr>
              <w:pStyle w:val="paragrap"/>
              <w:spacing w:before="120" w:beforeAutospacing="0" w:after="120" w:afterAutospacing="0" w:line="200" w:lineRule="exact"/>
              <w:rPr>
                <w:lang w:bidi="ar-BH"/>
              </w:rPr>
            </w:pPr>
            <w:r w:rsidRPr="005418BA">
              <w:rPr>
                <w:lang w:bidi="ar-BH"/>
              </w:rPr>
              <w:t>The same penalty shall be inflicted upon the purchaser or lessee of the commercial registration, if the sale contract or lease agree</w:t>
            </w:r>
            <w:r w:rsidRPr="005418BA">
              <w:rPr>
                <w:lang w:bidi="ar-BH"/>
              </w:rPr>
              <w:softHyphen/>
              <w:t xml:space="preserve">ment does not include the business premises for which the Commercial Registration has been issued, </w:t>
            </w:r>
            <w:proofErr w:type="gramStart"/>
            <w:r w:rsidRPr="005418BA">
              <w:rPr>
                <w:lang w:bidi="ar-BH"/>
              </w:rPr>
              <w:t>and also</w:t>
            </w:r>
            <w:proofErr w:type="gramEnd"/>
            <w:r w:rsidRPr="005418BA">
              <w:rPr>
                <w:lang w:bidi="ar-BH"/>
              </w:rPr>
              <w:t xml:space="preserve"> upon the foreign purchaser and lessee of the business premises.</w:t>
            </w:r>
            <w:r w:rsidR="00BF3B05">
              <w:rPr>
                <w:lang w:bidi="ar-BH"/>
              </w:rPr>
              <w:t xml:space="preserve"> </w:t>
            </w:r>
            <w:r w:rsidRPr="005418BA">
              <w:rPr>
                <w:lang w:bidi="ar-BH"/>
              </w:rPr>
              <w:t>The Court may, at the request of the Public Prosecution, Ministry of Commerce and Agriculture or any interested party, order at any time after the filing of criminal proceedings therewith the banning of an accused foreigner from leaving Bahrain until he has been discharged from financial obliga</w:t>
            </w:r>
            <w:r w:rsidRPr="005418BA">
              <w:rPr>
                <w:lang w:bidi="ar-BH"/>
              </w:rPr>
              <w:softHyphen/>
              <w:t>tions and compensations arising from violating the provisions of this Law.</w:t>
            </w:r>
          </w:p>
          <w:p w14:paraId="633F0826" w14:textId="08AC1E6F" w:rsidR="005418BA" w:rsidRPr="005418BA" w:rsidRDefault="005418BA" w:rsidP="00710338">
            <w:pPr>
              <w:pStyle w:val="paragrap"/>
              <w:spacing w:line="200" w:lineRule="exact"/>
              <w:rPr>
                <w:lang w:bidi="ar-BH"/>
              </w:rPr>
            </w:pPr>
            <w:r w:rsidRPr="005418BA">
              <w:rPr>
                <w:lang w:bidi="ar-BH"/>
              </w:rPr>
              <w:t> Upon passing a judgement convicting a foreigner of the crime provi</w:t>
            </w:r>
            <w:r w:rsidRPr="005418BA">
              <w:rPr>
                <w:lang w:bidi="ar-BH"/>
              </w:rPr>
              <w:softHyphen/>
              <w:t>ded for in this Article, the Court may in all cases order his depor</w:t>
            </w:r>
            <w:r w:rsidRPr="005418BA">
              <w:rPr>
                <w:lang w:bidi="ar-BH"/>
              </w:rPr>
              <w:softHyphen/>
              <w:t>tation from the State of Bahrain either completely or for a fixed period of no less than 3 years, provided that the enforcement of the deportation shall take place after discharging the convicted party of liability for the financial obligations and compensations, that have arisen from violating the provisions of this Law, or if the Court repeals its order banning a convicted foreigner from leaving the country, in accordance with the provisions of Article 4.</w:t>
            </w:r>
          </w:p>
          <w:p w14:paraId="2DC99637" w14:textId="77777777" w:rsidR="0069576D" w:rsidRDefault="0069576D" w:rsidP="00CE0155">
            <w:pPr>
              <w:pStyle w:val="titltels"/>
              <w:rPr>
                <w:lang w:bidi="ar-BH"/>
              </w:rPr>
            </w:pPr>
          </w:p>
          <w:p w14:paraId="042890B8" w14:textId="054E7420" w:rsidR="005418BA" w:rsidRPr="005418BA" w:rsidRDefault="005418BA" w:rsidP="00CE0155">
            <w:pPr>
              <w:pStyle w:val="titltels"/>
              <w:rPr>
                <w:lang w:bidi="ar-BH"/>
              </w:rPr>
            </w:pPr>
            <w:r w:rsidRPr="005418BA">
              <w:rPr>
                <w:lang w:bidi="ar-BH"/>
              </w:rPr>
              <w:t>Article 4</w:t>
            </w:r>
          </w:p>
          <w:p w14:paraId="2344A070" w14:textId="77777777" w:rsidR="005418BA" w:rsidRPr="005418BA" w:rsidRDefault="005418BA" w:rsidP="005418BA">
            <w:pPr>
              <w:pStyle w:val="paragrap"/>
              <w:rPr>
                <w:lang w:bidi="ar-BH"/>
              </w:rPr>
            </w:pPr>
            <w:r w:rsidRPr="005418BA">
              <w:rPr>
                <w:lang w:bidi="ar-BH"/>
              </w:rPr>
              <w:t>A foreigner who has been ordered by the Court to be banned from leaving Bahrain, according to the provisions of Article 3, may appeal against this order at any time and the appeal shall be filed with the Court which has issued the order.</w:t>
            </w:r>
          </w:p>
          <w:p w14:paraId="11F8F480" w14:textId="2994845D" w:rsidR="005418BA" w:rsidRPr="005418BA" w:rsidRDefault="005418BA" w:rsidP="000C6E22">
            <w:pPr>
              <w:pStyle w:val="paragrap"/>
              <w:rPr>
                <w:lang w:bidi="ar-BH"/>
              </w:rPr>
            </w:pPr>
            <w:r w:rsidRPr="005418BA">
              <w:rPr>
                <w:lang w:bidi="ar-BH"/>
              </w:rPr>
              <w:t>The Court shall be empowered to order the revocation of such order, if it is established thereto that such ban shall be of no effect.</w:t>
            </w:r>
          </w:p>
          <w:p w14:paraId="31B1D83C" w14:textId="77777777" w:rsidR="0069576D" w:rsidRDefault="0069576D" w:rsidP="00CE0155">
            <w:pPr>
              <w:pStyle w:val="titltels"/>
              <w:rPr>
                <w:lang w:bidi="ar-BH"/>
              </w:rPr>
            </w:pPr>
          </w:p>
          <w:p w14:paraId="16C88694" w14:textId="41A6A918" w:rsidR="005418BA" w:rsidRPr="005418BA" w:rsidRDefault="005418BA" w:rsidP="00CE0155">
            <w:pPr>
              <w:pStyle w:val="titltels"/>
              <w:rPr>
                <w:lang w:bidi="ar-BH"/>
              </w:rPr>
            </w:pPr>
            <w:r w:rsidRPr="005418BA">
              <w:rPr>
                <w:lang w:bidi="ar-BH"/>
              </w:rPr>
              <w:t xml:space="preserve">Article 5 </w:t>
            </w:r>
          </w:p>
          <w:p w14:paraId="0DE89F4B" w14:textId="1E93DF27" w:rsidR="005418BA" w:rsidRDefault="005418BA" w:rsidP="000C6E22">
            <w:pPr>
              <w:pStyle w:val="paragrap"/>
              <w:rPr>
                <w:rtl/>
                <w:lang w:bidi="ar-BH"/>
              </w:rPr>
            </w:pPr>
            <w:r w:rsidRPr="005418BA">
              <w:rPr>
                <w:lang w:bidi="ar-BH"/>
              </w:rPr>
              <w:lastRenderedPageBreak/>
              <w:t>A trader registered in the Register of Commerce shall be jointly liable with the purchaser and lessee for all the obligations arising from the act done in breach of this Law.</w:t>
            </w:r>
          </w:p>
          <w:p w14:paraId="2D74497E" w14:textId="77777777" w:rsidR="000C6E22" w:rsidRDefault="000C6E22" w:rsidP="00CE0155">
            <w:pPr>
              <w:pStyle w:val="titltels"/>
              <w:rPr>
                <w:rtl/>
                <w:lang w:bidi="ar-BH"/>
              </w:rPr>
            </w:pPr>
          </w:p>
          <w:p w14:paraId="3033AB1B" w14:textId="72DD4385" w:rsidR="005418BA" w:rsidRPr="005418BA" w:rsidRDefault="005418BA" w:rsidP="00CE0155">
            <w:pPr>
              <w:pStyle w:val="titltels"/>
              <w:rPr>
                <w:lang w:bidi="ar-BH"/>
              </w:rPr>
            </w:pPr>
            <w:r w:rsidRPr="005418BA">
              <w:rPr>
                <w:lang w:bidi="ar-BH"/>
              </w:rPr>
              <w:t>Article 6</w:t>
            </w:r>
          </w:p>
          <w:p w14:paraId="0481ACB5" w14:textId="3769F430" w:rsidR="005418BA" w:rsidRPr="005418BA" w:rsidRDefault="005418BA" w:rsidP="000C6E22">
            <w:pPr>
              <w:pStyle w:val="paragrap"/>
              <w:rPr>
                <w:lang w:bidi="ar-BH"/>
              </w:rPr>
            </w:pPr>
            <w:r w:rsidRPr="005418BA">
              <w:rPr>
                <w:lang w:bidi="ar-BH"/>
              </w:rPr>
              <w:t>Sellers and lessors of commercial registrations and lessors, purchasers and lessees of business premises who are subject to the provisions of Article 1 of this Law shall be granted a grace period of 6 months commencing from the effective date of this Law during which they shall modify the conditions of their business and commercial registrations in compliance with the provisions of this Law, provided that they shall be subject to the provisions of this Law upon the expiry of the said grace period.</w:t>
            </w:r>
          </w:p>
          <w:p w14:paraId="25C6182B" w14:textId="77777777" w:rsidR="0069576D" w:rsidRDefault="0069576D" w:rsidP="00CE0155">
            <w:pPr>
              <w:pStyle w:val="titltels"/>
              <w:rPr>
                <w:lang w:bidi="ar-BH"/>
              </w:rPr>
            </w:pPr>
          </w:p>
          <w:p w14:paraId="7DCB3EE4" w14:textId="0EC13976" w:rsidR="005418BA" w:rsidRPr="005418BA" w:rsidRDefault="005418BA" w:rsidP="00CE0155">
            <w:pPr>
              <w:pStyle w:val="titltels"/>
              <w:rPr>
                <w:lang w:bidi="ar-BH"/>
              </w:rPr>
            </w:pPr>
            <w:r w:rsidRPr="005418BA">
              <w:rPr>
                <w:lang w:bidi="ar-BH"/>
              </w:rPr>
              <w:t>Article 7</w:t>
            </w:r>
          </w:p>
          <w:p w14:paraId="10032509" w14:textId="4EEBF9D0" w:rsidR="005418BA" w:rsidRPr="005418BA" w:rsidRDefault="005418BA" w:rsidP="000C6E22">
            <w:pPr>
              <w:pStyle w:val="paragrap"/>
              <w:rPr>
                <w:lang w:bidi="ar-BH"/>
              </w:rPr>
            </w:pPr>
            <w:r w:rsidRPr="005418BA">
              <w:rPr>
                <w:lang w:bidi="ar-BH"/>
              </w:rPr>
              <w:t>The officers designated by the Minister for Commerce and Agriculture for the implementation of the provisions of this Law shall have the power of entering business premises, detecting offences in violation of its provisions, preparing the necessary statements and referring violators to the Public Prosecution.</w:t>
            </w:r>
          </w:p>
          <w:p w14:paraId="1D4765C4" w14:textId="77777777" w:rsidR="0069576D" w:rsidRDefault="0069576D" w:rsidP="00CE0155">
            <w:pPr>
              <w:pStyle w:val="titltels"/>
              <w:rPr>
                <w:lang w:bidi="ar-BH"/>
              </w:rPr>
            </w:pPr>
          </w:p>
          <w:p w14:paraId="63B0939F" w14:textId="3B99FB38" w:rsidR="005418BA" w:rsidRPr="005418BA" w:rsidRDefault="005418BA" w:rsidP="00CE0155">
            <w:pPr>
              <w:pStyle w:val="titltels"/>
              <w:rPr>
                <w:lang w:bidi="ar-BH"/>
              </w:rPr>
            </w:pPr>
            <w:r w:rsidRPr="005418BA">
              <w:rPr>
                <w:lang w:bidi="ar-BH"/>
              </w:rPr>
              <w:t>Article 8</w:t>
            </w:r>
          </w:p>
          <w:p w14:paraId="3D0F12EA" w14:textId="4A11B3F1" w:rsidR="005418BA" w:rsidRPr="005418BA" w:rsidRDefault="005418BA" w:rsidP="000C6E22">
            <w:pPr>
              <w:pStyle w:val="paragrap"/>
              <w:rPr>
                <w:lang w:bidi="ar-BH"/>
              </w:rPr>
            </w:pPr>
            <w:r w:rsidRPr="005418BA">
              <w:rPr>
                <w:lang w:bidi="ar-BH"/>
              </w:rPr>
              <w:t xml:space="preserve">The Minister for Commerce and Agriculture shall issue the necessary orders for implementing </w:t>
            </w:r>
            <w:proofErr w:type="gramStart"/>
            <w:r w:rsidRPr="005418BA">
              <w:rPr>
                <w:lang w:bidi="ar-BH"/>
              </w:rPr>
              <w:t>this</w:t>
            </w:r>
            <w:proofErr w:type="gramEnd"/>
            <w:r w:rsidRPr="005418BA">
              <w:rPr>
                <w:lang w:bidi="ar-BH"/>
              </w:rPr>
              <w:t xml:space="preserve"> Law.</w:t>
            </w:r>
          </w:p>
          <w:p w14:paraId="4A5B069A" w14:textId="77777777" w:rsidR="0069576D" w:rsidRDefault="0069576D" w:rsidP="00CE0155">
            <w:pPr>
              <w:pStyle w:val="titltels"/>
              <w:rPr>
                <w:lang w:bidi="ar-BH"/>
              </w:rPr>
            </w:pPr>
          </w:p>
          <w:p w14:paraId="0655638B" w14:textId="5717E28C" w:rsidR="005418BA" w:rsidRPr="005418BA" w:rsidRDefault="005418BA" w:rsidP="00CE0155">
            <w:pPr>
              <w:pStyle w:val="titltels"/>
              <w:rPr>
                <w:lang w:bidi="ar-BH"/>
              </w:rPr>
            </w:pPr>
            <w:r w:rsidRPr="005418BA">
              <w:rPr>
                <w:lang w:bidi="ar-BH"/>
              </w:rPr>
              <w:t>Article 9</w:t>
            </w:r>
          </w:p>
          <w:p w14:paraId="14D87862" w14:textId="77777777" w:rsidR="005418BA" w:rsidRPr="005418BA" w:rsidRDefault="005418BA" w:rsidP="005418BA">
            <w:pPr>
              <w:pStyle w:val="paragrap"/>
              <w:rPr>
                <w:lang w:bidi="ar-BH"/>
              </w:rPr>
            </w:pPr>
            <w:r w:rsidRPr="005418BA">
              <w:rPr>
                <w:lang w:bidi="ar-BH"/>
              </w:rPr>
              <w:t>The Ministers, each in his respective capacity, shall implement this Law which shall come into force from the date of its publication in the Official Gazette.</w:t>
            </w:r>
          </w:p>
          <w:p w14:paraId="3A20AD00" w14:textId="020F2254" w:rsidR="005418BA" w:rsidRPr="005418BA" w:rsidRDefault="005418BA" w:rsidP="005418BA">
            <w:pPr>
              <w:pStyle w:val="paragrap"/>
              <w:rPr>
                <w:lang w:bidi="ar-BH"/>
              </w:rPr>
            </w:pPr>
          </w:p>
          <w:p w14:paraId="1299ACA0" w14:textId="77777777" w:rsidR="005418BA" w:rsidRPr="005418BA" w:rsidRDefault="005418BA" w:rsidP="00A618B2">
            <w:pPr>
              <w:pStyle w:val="paragrap"/>
              <w:spacing w:before="0" w:beforeAutospacing="0" w:after="0" w:afterAutospacing="0"/>
              <w:rPr>
                <w:lang w:bidi="ar-BH"/>
              </w:rPr>
            </w:pPr>
            <w:r w:rsidRPr="005418BA">
              <w:rPr>
                <w:b/>
                <w:bCs/>
                <w:lang w:bidi="ar-BH"/>
              </w:rPr>
              <w:t>Hamad bin Isa Al Khalifa</w:t>
            </w:r>
          </w:p>
          <w:p w14:paraId="4A1F5DC2" w14:textId="3F60170D" w:rsidR="005418BA" w:rsidRDefault="005418BA" w:rsidP="00A618B2">
            <w:pPr>
              <w:pStyle w:val="paragrap"/>
              <w:spacing w:before="0" w:beforeAutospacing="0" w:after="0" w:afterAutospacing="0"/>
              <w:rPr>
                <w:b/>
                <w:bCs/>
                <w:rtl/>
                <w:lang w:bidi="ar-BH"/>
              </w:rPr>
            </w:pPr>
            <w:r w:rsidRPr="005418BA">
              <w:rPr>
                <w:b/>
                <w:bCs/>
                <w:lang w:bidi="ar-BH"/>
              </w:rPr>
              <w:t>Deputy Amir of the State of Bahrain</w:t>
            </w:r>
          </w:p>
          <w:p w14:paraId="64611953" w14:textId="77777777" w:rsidR="00A618B2" w:rsidRPr="005418BA" w:rsidRDefault="00A618B2" w:rsidP="00A618B2">
            <w:pPr>
              <w:pStyle w:val="paragrap"/>
              <w:spacing w:before="0" w:beforeAutospacing="0" w:after="0" w:afterAutospacing="0"/>
              <w:rPr>
                <w:lang w:bidi="ar-BH"/>
              </w:rPr>
            </w:pPr>
          </w:p>
          <w:p w14:paraId="305CB0F9" w14:textId="77777777" w:rsidR="005418BA" w:rsidRPr="005418BA" w:rsidRDefault="005418BA" w:rsidP="00A618B2">
            <w:pPr>
              <w:pStyle w:val="paragrap"/>
              <w:spacing w:before="0" w:beforeAutospacing="0" w:after="0" w:afterAutospacing="0"/>
              <w:rPr>
                <w:lang w:bidi="ar-BH"/>
              </w:rPr>
            </w:pPr>
            <w:r w:rsidRPr="005418BA">
              <w:rPr>
                <w:lang w:bidi="ar-BH"/>
              </w:rPr>
              <w:t xml:space="preserve">Issued at Riffa Palace on: </w:t>
            </w:r>
          </w:p>
          <w:p w14:paraId="6EFDFD99" w14:textId="77777777" w:rsidR="005418BA" w:rsidRPr="005418BA" w:rsidRDefault="005418BA" w:rsidP="00A618B2">
            <w:pPr>
              <w:pStyle w:val="paragrap"/>
              <w:spacing w:before="0" w:beforeAutospacing="0" w:after="0" w:afterAutospacing="0"/>
              <w:rPr>
                <w:lang w:bidi="ar-BH"/>
              </w:rPr>
            </w:pPr>
            <w:r w:rsidRPr="005418BA">
              <w:rPr>
                <w:lang w:bidi="ar-BH"/>
              </w:rPr>
              <w:t>13</w:t>
            </w:r>
            <w:r w:rsidRPr="005418BA">
              <w:rPr>
                <w:vertAlign w:val="superscript"/>
                <w:lang w:bidi="ar-BH"/>
              </w:rPr>
              <w:t>th</w:t>
            </w:r>
            <w:r w:rsidRPr="005418BA">
              <w:rPr>
                <w:lang w:bidi="ar-BH"/>
              </w:rPr>
              <w:t>JamaiAlAkhir, 1407 Hijra</w:t>
            </w:r>
          </w:p>
          <w:p w14:paraId="20F6B8D1" w14:textId="77777777" w:rsidR="005418BA" w:rsidRPr="005418BA" w:rsidRDefault="005418BA" w:rsidP="00A618B2">
            <w:pPr>
              <w:pStyle w:val="paragrap"/>
              <w:spacing w:before="0" w:beforeAutospacing="0" w:after="0" w:afterAutospacing="0"/>
              <w:rPr>
                <w:lang w:bidi="ar-BH"/>
              </w:rPr>
            </w:pPr>
            <w:r w:rsidRPr="005418BA">
              <w:rPr>
                <w:lang w:bidi="ar-BH"/>
              </w:rPr>
              <w:t xml:space="preserve">Corresponding on: 12 February 1987 </w:t>
            </w:r>
          </w:p>
          <w:p w14:paraId="341CE27F" w14:textId="77777777" w:rsidR="005418BA" w:rsidRPr="005418BA" w:rsidRDefault="005418BA" w:rsidP="00A618B2">
            <w:pPr>
              <w:pStyle w:val="paragrap"/>
              <w:spacing w:before="0" w:beforeAutospacing="0" w:after="0" w:afterAutospacing="0"/>
              <w:rPr>
                <w:lang w:bidi="ar-BH"/>
              </w:rPr>
            </w:pPr>
            <w:r w:rsidRPr="005418BA">
              <w:rPr>
                <w:lang w:bidi="ar-BH"/>
              </w:rPr>
              <w:t>Dated: 12 February 1987</w:t>
            </w:r>
          </w:p>
          <w:p w14:paraId="1B200233" w14:textId="77777777" w:rsidR="007D66B0" w:rsidRPr="00715A12" w:rsidRDefault="007D66B0" w:rsidP="00DA4DF6">
            <w:pPr>
              <w:pStyle w:val="paragrap"/>
              <w:rPr>
                <w:rtl/>
                <w:lang w:bidi="ar-BH"/>
              </w:rPr>
            </w:pPr>
          </w:p>
        </w:tc>
        <w:tc>
          <w:tcPr>
            <w:tcW w:w="7702" w:type="dxa"/>
            <w:tcBorders>
              <w:top w:val="nil"/>
              <w:left w:val="nil"/>
              <w:bottom w:val="nil"/>
              <w:right w:val="nil"/>
            </w:tcBorders>
          </w:tcPr>
          <w:p w14:paraId="2A35E6CB" w14:textId="1AD3449C" w:rsidR="000A3B0A" w:rsidRPr="00DF04CE" w:rsidRDefault="000A3B0A" w:rsidP="00DF04CE">
            <w:pPr>
              <w:bidi/>
              <w:jc w:val="center"/>
              <w:rPr>
                <w:rFonts w:cs="Sakkal Majalla"/>
                <w:b/>
                <w:bCs/>
                <w:rtl/>
                <w:lang w:bidi="ar-BH"/>
              </w:rPr>
            </w:pPr>
            <w:r w:rsidRPr="00DF04CE">
              <w:rPr>
                <w:rFonts w:cs="Sakkal Majalla"/>
                <w:b/>
                <w:bCs/>
                <w:rtl/>
                <w:lang w:bidi="ar-BH"/>
              </w:rPr>
              <w:lastRenderedPageBreak/>
              <w:t xml:space="preserve">قانون </w:t>
            </w:r>
            <w:r w:rsidRPr="00DF04CE">
              <w:rPr>
                <w:rFonts w:cs="Sakkal Majalla"/>
                <w:b/>
                <w:bCs/>
                <w:rtl/>
              </w:rPr>
              <w:t>الأحكام المتعلقة ببيع وتأجير المحال التجارية</w:t>
            </w:r>
          </w:p>
          <w:p w14:paraId="4670A9B8" w14:textId="6B2BD979" w:rsidR="00007BCA" w:rsidRPr="00007BCA" w:rsidRDefault="00DA4DF6" w:rsidP="00007BCA">
            <w:pPr>
              <w:bidi/>
              <w:spacing w:before="0" w:after="0"/>
              <w:jc w:val="center"/>
              <w:rPr>
                <w:rFonts w:cs="Sakkal Majalla"/>
                <w:sz w:val="22"/>
                <w:szCs w:val="22"/>
                <w:lang w:bidi="ar-BH"/>
              </w:rPr>
            </w:pPr>
            <w:r w:rsidRPr="00DF04CE">
              <w:rPr>
                <w:rFonts w:cs="Sakkal Majalla"/>
                <w:sz w:val="22"/>
                <w:szCs w:val="22"/>
                <w:rtl/>
                <w:lang w:bidi="ar-BH"/>
              </w:rPr>
              <w:t>مرسوم بقانون رقم (1) لسنة 1987</w:t>
            </w:r>
          </w:p>
          <w:p w14:paraId="6DAF0104" w14:textId="77777777" w:rsidR="00BB1458" w:rsidRDefault="00DA4DF6" w:rsidP="00BB1458">
            <w:pPr>
              <w:bidi/>
              <w:spacing w:before="0" w:after="0"/>
              <w:jc w:val="center"/>
              <w:rPr>
                <w:rFonts w:cs="Sakkal Majalla"/>
                <w:sz w:val="22"/>
                <w:szCs w:val="22"/>
                <w:lang w:bidi="ar-BH"/>
              </w:rPr>
            </w:pPr>
            <w:r w:rsidRPr="00DF04CE">
              <w:rPr>
                <w:rFonts w:cs="Sakkal Majalla"/>
                <w:sz w:val="22"/>
                <w:szCs w:val="22"/>
                <w:rtl/>
                <w:lang w:bidi="ar-BH"/>
              </w:rPr>
              <w:t>بشأن بعض الأحكام المتعلقة ببيع وتأجير المحال التجارية</w:t>
            </w:r>
          </w:p>
          <w:p w14:paraId="00653116" w14:textId="77777777" w:rsidR="00BB1458" w:rsidRDefault="00BB1458" w:rsidP="00BB1458">
            <w:pPr>
              <w:bidi/>
              <w:spacing w:before="0" w:after="0"/>
              <w:jc w:val="center"/>
              <w:rPr>
                <w:b/>
                <w:bCs/>
                <w:lang w:bidi="ar-BH"/>
              </w:rPr>
            </w:pPr>
          </w:p>
          <w:p w14:paraId="40BC645B" w14:textId="6DC6D84F" w:rsidR="00DA4DF6" w:rsidRPr="00BB1458" w:rsidRDefault="00DA4DF6" w:rsidP="00BB1458">
            <w:pPr>
              <w:bidi/>
              <w:spacing w:before="0" w:after="0"/>
              <w:rPr>
                <w:rFonts w:cs="Sakkal Majalla"/>
                <w:sz w:val="22"/>
                <w:szCs w:val="22"/>
                <w:rtl/>
              </w:rPr>
            </w:pPr>
            <w:r w:rsidRPr="00DA4DF6">
              <w:rPr>
                <w:rFonts w:hint="cs"/>
                <w:b/>
                <w:bCs/>
                <w:rtl/>
                <w:lang w:bidi="ar-BH"/>
              </w:rPr>
              <w:t>نحن حمد بن عيسى آل خليفة أمير دولة البحرين بالنيابة.</w:t>
            </w:r>
          </w:p>
          <w:p w14:paraId="1662C1FD" w14:textId="77777777" w:rsidR="00DA4DF6" w:rsidRPr="00DA4DF6" w:rsidRDefault="00DA4DF6" w:rsidP="005D71EB">
            <w:pPr>
              <w:pStyle w:val="a0"/>
              <w:spacing w:before="120" w:beforeAutospacing="0" w:after="120" w:afterAutospacing="0"/>
              <w:ind w:left="720"/>
              <w:rPr>
                <w:rtl/>
              </w:rPr>
            </w:pPr>
            <w:r w:rsidRPr="00DA4DF6">
              <w:rPr>
                <w:rFonts w:hint="cs"/>
                <w:rtl/>
                <w:lang w:bidi="ar-BH"/>
              </w:rPr>
              <w:t>بعد الاطلاع على الدستور،</w:t>
            </w:r>
          </w:p>
          <w:p w14:paraId="65B8D2F6" w14:textId="77777777" w:rsidR="00DA4DF6" w:rsidRPr="00DA4DF6" w:rsidRDefault="00DA4DF6" w:rsidP="005D71EB">
            <w:pPr>
              <w:pStyle w:val="a0"/>
              <w:spacing w:before="120" w:beforeAutospacing="0" w:after="120" w:afterAutospacing="0"/>
              <w:ind w:left="720"/>
              <w:rPr>
                <w:rtl/>
              </w:rPr>
            </w:pPr>
            <w:r w:rsidRPr="00DA4DF6">
              <w:rPr>
                <w:rFonts w:hint="cs"/>
                <w:rtl/>
                <w:lang w:bidi="ar-BH"/>
              </w:rPr>
              <w:t>وعلى الأمر الأميري رقم (4) لسنة 1975،</w:t>
            </w:r>
          </w:p>
          <w:p w14:paraId="7E820F37" w14:textId="77777777" w:rsidR="00DA4DF6" w:rsidRPr="00DA4DF6" w:rsidRDefault="00DA4DF6" w:rsidP="005D71EB">
            <w:pPr>
              <w:pStyle w:val="a0"/>
              <w:spacing w:before="120" w:beforeAutospacing="0" w:after="120" w:afterAutospacing="0"/>
              <w:ind w:left="720"/>
              <w:rPr>
                <w:rtl/>
              </w:rPr>
            </w:pPr>
            <w:r w:rsidRPr="00DA4DF6">
              <w:rPr>
                <w:rFonts w:hint="cs"/>
                <w:rtl/>
                <w:lang w:bidi="ar-BH"/>
              </w:rPr>
              <w:t>وعلى الأمر الأميري رقم (3) لسنة 1987 ،</w:t>
            </w:r>
          </w:p>
          <w:p w14:paraId="5E8EA7BE" w14:textId="77777777" w:rsidR="00DA4DF6" w:rsidRPr="00DA4DF6" w:rsidRDefault="00DA4DF6" w:rsidP="00C360B3">
            <w:pPr>
              <w:pStyle w:val="a0"/>
              <w:spacing w:before="120" w:beforeAutospacing="0" w:after="240" w:afterAutospacing="0" w:line="280" w:lineRule="exact"/>
              <w:ind w:left="720"/>
              <w:rPr>
                <w:rtl/>
              </w:rPr>
            </w:pPr>
            <w:r w:rsidRPr="00DA4DF6">
              <w:rPr>
                <w:rFonts w:hint="cs"/>
                <w:rtl/>
                <w:lang w:bidi="ar-BH"/>
              </w:rPr>
              <w:t>وعلى المرسوم رقم (1) (مالية) لسنة 1961 الخاص بإنشاء السجل التجاري المعدل بالمرسوم بقانون رقـم (34) لسنة 1976 والمرسوم بقانون رقم (12) لسنة 1978 ولائحته التنفيذية، </w:t>
            </w:r>
          </w:p>
          <w:p w14:paraId="21C5FA1E" w14:textId="77777777" w:rsidR="00DA4DF6" w:rsidRPr="00DA4DF6" w:rsidRDefault="00DA4DF6" w:rsidP="00C360B3">
            <w:pPr>
              <w:pStyle w:val="a0"/>
              <w:spacing w:before="240" w:beforeAutospacing="0" w:after="240" w:afterAutospacing="0"/>
              <w:ind w:left="720"/>
              <w:rPr>
                <w:rtl/>
              </w:rPr>
            </w:pPr>
            <w:r w:rsidRPr="00DA4DF6">
              <w:rPr>
                <w:rFonts w:hint="cs"/>
                <w:rtl/>
                <w:lang w:bidi="ar-BH"/>
              </w:rPr>
              <w:t>وعلى المرسوم بقانون رقم (28) لسنة 1975 بإصدار قانون الشركات التجارية والقوانين المعدلة له،</w:t>
            </w:r>
          </w:p>
          <w:p w14:paraId="43191F6C" w14:textId="77777777" w:rsidR="00DA4DF6" w:rsidRPr="00DA4DF6" w:rsidRDefault="00DA4DF6" w:rsidP="00C360B3">
            <w:pPr>
              <w:pStyle w:val="a0"/>
              <w:spacing w:before="240" w:beforeAutospacing="0" w:after="240" w:afterAutospacing="0"/>
              <w:ind w:left="720"/>
              <w:rPr>
                <w:rtl/>
              </w:rPr>
            </w:pPr>
            <w:r w:rsidRPr="00DA4DF6">
              <w:rPr>
                <w:rFonts w:hint="cs"/>
                <w:rtl/>
                <w:lang w:bidi="ar-BH"/>
              </w:rPr>
              <w:t>وبناء على عرض وزير التجارة والزراعة،</w:t>
            </w:r>
          </w:p>
          <w:p w14:paraId="35D759DC" w14:textId="77777777" w:rsidR="00DA4DF6" w:rsidRPr="00DA4DF6" w:rsidRDefault="00DA4DF6" w:rsidP="00C360B3">
            <w:pPr>
              <w:pStyle w:val="a0"/>
              <w:spacing w:before="240" w:beforeAutospacing="0" w:after="240" w:afterAutospacing="0"/>
              <w:ind w:left="720"/>
              <w:rPr>
                <w:rtl/>
              </w:rPr>
            </w:pPr>
            <w:r w:rsidRPr="00DA4DF6">
              <w:rPr>
                <w:rFonts w:hint="cs"/>
                <w:rtl/>
                <w:lang w:bidi="ar-BH"/>
              </w:rPr>
              <w:t>وبعد موافقة مجلس الوزراء،</w:t>
            </w:r>
          </w:p>
          <w:p w14:paraId="219F2EC8" w14:textId="031BC139" w:rsidR="00DA4DF6" w:rsidRPr="00DA4DF6" w:rsidRDefault="00DA4DF6" w:rsidP="00C360B3">
            <w:pPr>
              <w:pStyle w:val="a0"/>
              <w:spacing w:before="120" w:after="120"/>
              <w:rPr>
                <w:rtl/>
              </w:rPr>
            </w:pPr>
            <w:r w:rsidRPr="00DA4DF6">
              <w:rPr>
                <w:rFonts w:hint="cs"/>
                <w:b/>
                <w:bCs/>
                <w:rtl/>
                <w:lang w:bidi="ar-BH"/>
              </w:rPr>
              <w:t>رسمنا بالقانون الآتي:</w:t>
            </w:r>
          </w:p>
          <w:p w14:paraId="441AF3D9" w14:textId="77777777" w:rsidR="0069576D" w:rsidRDefault="0069576D" w:rsidP="0069576D">
            <w:pPr>
              <w:pStyle w:val="a"/>
              <w:rPr>
                <w:lang w:bidi="ar-BH"/>
              </w:rPr>
            </w:pPr>
          </w:p>
          <w:p w14:paraId="72D26AAC" w14:textId="6614B970" w:rsidR="00DA4DF6" w:rsidRPr="00DA4DF6" w:rsidRDefault="00DA4DF6" w:rsidP="0069576D">
            <w:pPr>
              <w:pStyle w:val="a"/>
              <w:rPr>
                <w:rtl/>
                <w:lang w:bidi="ar-BH"/>
              </w:rPr>
            </w:pPr>
            <w:r w:rsidRPr="00DA4DF6">
              <w:rPr>
                <w:rFonts w:hint="cs"/>
                <w:rtl/>
                <w:lang w:bidi="ar-BH"/>
              </w:rPr>
              <w:t>المادة الأولى</w:t>
            </w:r>
          </w:p>
          <w:p w14:paraId="3C374043" w14:textId="77777777" w:rsidR="00611A11" w:rsidRDefault="00DA4DF6" w:rsidP="00611A11">
            <w:pPr>
              <w:pStyle w:val="a0"/>
              <w:spacing w:before="240" w:beforeAutospacing="0"/>
              <w:rPr>
                <w:lang w:bidi="ar-BH"/>
              </w:rPr>
            </w:pPr>
            <w:r w:rsidRPr="00DA4DF6">
              <w:rPr>
                <w:rFonts w:hint="cs"/>
                <w:rtl/>
                <w:lang w:bidi="ar-BH"/>
              </w:rPr>
              <w:t>يحظر على أي تاجر – فردا كان أو شركة – مقيد في السجل التجاري أن يبيع السجل التجاري أو يؤجره دون أن يشمل عقد البيع أو عقد الإيجار المحل التجاري الصادر له السجل، كما يحظر على أي تاجر – فردا كان أو شركة – مقيد في السجل التجاري بيع أو تأجير سجله التجاري أو تأجير محله التجاري لأجنبي .</w:t>
            </w:r>
          </w:p>
          <w:p w14:paraId="26ECAC45" w14:textId="77777777" w:rsidR="00611A11" w:rsidRDefault="00611A11" w:rsidP="00611A11">
            <w:pPr>
              <w:pStyle w:val="a0"/>
              <w:spacing w:before="240" w:beforeAutospacing="0"/>
              <w:rPr>
                <w:lang w:bidi="ar-BH"/>
              </w:rPr>
            </w:pPr>
          </w:p>
          <w:p w14:paraId="62F56D61" w14:textId="2EA9108D" w:rsidR="00DA4DF6" w:rsidRPr="00DA4DF6" w:rsidRDefault="00DA4DF6" w:rsidP="00611A11">
            <w:pPr>
              <w:pStyle w:val="a0"/>
              <w:spacing w:before="240" w:beforeAutospacing="0"/>
              <w:rPr>
                <w:rtl/>
              </w:rPr>
            </w:pPr>
            <w:r w:rsidRPr="00DA4DF6">
              <w:rPr>
                <w:rFonts w:hint="cs"/>
                <w:rtl/>
                <w:lang w:bidi="ar-BH"/>
              </w:rPr>
              <w:t>المادة الثانية</w:t>
            </w:r>
          </w:p>
          <w:p w14:paraId="2643F44B" w14:textId="5909B6D4" w:rsidR="002679F3" w:rsidRDefault="00DA4DF6" w:rsidP="0069576D">
            <w:pPr>
              <w:pStyle w:val="a0"/>
              <w:rPr>
                <w:rtl/>
              </w:rPr>
            </w:pPr>
            <w:r w:rsidRPr="00DA4DF6">
              <w:rPr>
                <w:rFonts w:hint="cs"/>
                <w:rtl/>
                <w:lang w:bidi="ar-BH"/>
              </w:rPr>
              <w:t>في حالة وقوع مخالفة لأحكام المادة الأولى تقوم وزارة التجارة والزراعة بإخطار التاجر بالمخالفة وتحدد له مهلة لا تقل عن أسبوع لإزالة أسباب المخافة، كما يكون لوزارة التجارة والزراعة فضلا عن إنذار التاجر أن تغلق المحل التجاري المخالف إداريا. </w:t>
            </w:r>
          </w:p>
          <w:p w14:paraId="3501CF2D" w14:textId="4F66652B" w:rsidR="00DA4DF6" w:rsidRPr="00DA4DF6" w:rsidRDefault="00DA4DF6" w:rsidP="002679F3">
            <w:pPr>
              <w:pStyle w:val="a0"/>
              <w:spacing w:before="120" w:after="120"/>
              <w:rPr>
                <w:rtl/>
              </w:rPr>
            </w:pPr>
            <w:r w:rsidRPr="00DA4DF6">
              <w:rPr>
                <w:rFonts w:hint="cs"/>
                <w:rtl/>
                <w:lang w:bidi="ar-BH"/>
              </w:rPr>
              <w:t>فإذا تحققت وزارة التجارة والزراعة من إزالة أسباب المخالفة أذنت للتاجر بإعادة فتح محله وإلا أحالته إلى الإدعاء العام لتقديمه إلى المحاكمة في حالة استمرار المخالفة.</w:t>
            </w:r>
          </w:p>
          <w:p w14:paraId="7A0855E1" w14:textId="77777777" w:rsidR="0069576D" w:rsidRDefault="0069576D" w:rsidP="00B85494">
            <w:pPr>
              <w:pStyle w:val="a"/>
              <w:rPr>
                <w:lang w:bidi="ar-BH"/>
              </w:rPr>
            </w:pPr>
          </w:p>
          <w:p w14:paraId="2175B96E" w14:textId="64B7CB8A" w:rsidR="00DA4DF6" w:rsidRPr="00DA4DF6" w:rsidRDefault="00DA4DF6" w:rsidP="00B85494">
            <w:pPr>
              <w:pStyle w:val="a"/>
              <w:rPr>
                <w:rtl/>
              </w:rPr>
            </w:pPr>
            <w:r w:rsidRPr="00DA4DF6">
              <w:rPr>
                <w:rFonts w:hint="cs"/>
                <w:rtl/>
                <w:lang w:bidi="ar-BH"/>
              </w:rPr>
              <w:t>المادة الثالثة</w:t>
            </w:r>
          </w:p>
          <w:p w14:paraId="3F70F863" w14:textId="2CD39665" w:rsidR="00BB663B" w:rsidRDefault="00DA4DF6" w:rsidP="0069576D">
            <w:pPr>
              <w:pStyle w:val="a0"/>
              <w:spacing w:before="400" w:beforeAutospacing="0" w:line="240" w:lineRule="exact"/>
              <w:rPr>
                <w:rtl/>
                <w:lang w:bidi="ar-BH"/>
              </w:rPr>
            </w:pPr>
            <w:r w:rsidRPr="00DA4DF6">
              <w:rPr>
                <w:rFonts w:hint="cs"/>
                <w:rtl/>
                <w:lang w:bidi="ar-BH"/>
              </w:rPr>
              <w:lastRenderedPageBreak/>
              <w:t xml:space="preserve">كل تاجر أنذر لمخالفته أحكام المادة الأولى من هذا القانون و لم يقم بإزالة أسباب المخالفة في المهلة التي حددتها وزارة التجارة والزراعة، وكل تاجر عاد ثانية إلى مخالفة أحكام هذه المادة رغم سابقة الإنذار طبقا للمادة الثانية في هذا القانون يعاقب بالحبس مدة لا تزيد على سنة وبغرامة لا تتجاوز ألف دينار أو بإحدى هاتين العقوبتين فضلا عن الحكم بمحو قيده في السجل التجاري و إغلاق المحل التجاري الذي وقعت فيه المخالفة مع الحكم بنشر منطوق الحكم في الجريدة الرسمية على نفقته.  </w:t>
            </w:r>
          </w:p>
          <w:p w14:paraId="32FCC074" w14:textId="4C3D6BB2" w:rsidR="001A677B" w:rsidRDefault="00DA4DF6" w:rsidP="0069576D">
            <w:pPr>
              <w:pStyle w:val="a0"/>
              <w:spacing w:before="0" w:beforeAutospacing="0" w:line="240" w:lineRule="exact"/>
              <w:rPr>
                <w:rtl/>
                <w:lang w:bidi="ar-BH"/>
              </w:rPr>
            </w:pPr>
            <w:r w:rsidRPr="00DA4DF6">
              <w:rPr>
                <w:rFonts w:hint="cs"/>
                <w:rtl/>
                <w:lang w:bidi="ar-BH"/>
              </w:rPr>
              <w:t>ويعاقب بذات العقوبة مشترى السجل التجاري أو مستأجره إذا لم يشمل عقد البيع أو عقد الإيجار المحل التجاري الصادر له السجل وكذلك المشتري والمستأجر الأجنبي للمحل التجاري، ويجوز للمحكمة بناء على طلب الإدعاء العام أو وزارة التجارة والزراعة أو أي من ذوي الشأن أن تأمر في أي وقت منذ رفع الدعوى الجنائية إليها بمنع المتهم الأجنبي من مغادرة البحرين إلى أن يتم إبراء ذمته من الالتزامات المالية و التعويضات التي ترتبت على مخالفة أحكام هذا القانون. </w:t>
            </w:r>
          </w:p>
          <w:p w14:paraId="2F21737C" w14:textId="610506E1" w:rsidR="00DA4DF6" w:rsidRPr="00DA4DF6" w:rsidRDefault="00DA4DF6" w:rsidP="00710338">
            <w:pPr>
              <w:pStyle w:val="a0"/>
              <w:spacing w:before="0" w:beforeAutospacing="0" w:line="240" w:lineRule="exact"/>
              <w:rPr>
                <w:rtl/>
              </w:rPr>
            </w:pPr>
            <w:r w:rsidRPr="00DA4DF6">
              <w:rPr>
                <w:rFonts w:hint="cs"/>
                <w:rtl/>
                <w:lang w:bidi="ar-BH"/>
              </w:rPr>
              <w:t>وفي جميع الأحوال يجوز للمحكمة عند الحكم بإدانة الأجنبي في الجريمة المنصوص عليها في هذه المادة أن تأمر بإبعاده من دولة البحرين نهائيا أو لمدة محددة لا تقل عن ثلاث سنوات على أن يتم تنفيذ أمر الإبعاد بعد إبراء ذمة المحكوم عليه من الالتزامات المالية والتعويضات التي ترتبت على مخالفة أحكام هذا القانون أو إذا ألغت المحكمة أمرها بمنع الأجنبي المحكوم عليه من مغادرة البلاد طبقا لأحكام المادة الرابعة . </w:t>
            </w:r>
          </w:p>
          <w:p w14:paraId="1527DD37" w14:textId="77777777" w:rsidR="00710338" w:rsidRDefault="00710338" w:rsidP="00CE0155">
            <w:pPr>
              <w:pStyle w:val="titltels"/>
              <w:bidi/>
              <w:rPr>
                <w:rtl/>
                <w:lang w:bidi="ar-BH"/>
              </w:rPr>
            </w:pPr>
          </w:p>
          <w:p w14:paraId="31581E6F" w14:textId="4E184BFC" w:rsidR="00DA4DF6" w:rsidRPr="00710338" w:rsidRDefault="00DA4DF6" w:rsidP="00B85494">
            <w:pPr>
              <w:pStyle w:val="a"/>
              <w:rPr>
                <w:rtl/>
              </w:rPr>
            </w:pPr>
            <w:r w:rsidRPr="00710338">
              <w:rPr>
                <w:rStyle w:val="Char"/>
                <w:rFonts w:hint="cs"/>
                <w:b/>
                <w:bCs/>
                <w:sz w:val="22"/>
                <w:szCs w:val="22"/>
                <w:rtl/>
              </w:rPr>
              <w:t>المادة</w:t>
            </w:r>
            <w:r w:rsidRPr="00710338">
              <w:rPr>
                <w:rFonts w:hint="cs"/>
                <w:rtl/>
                <w:lang w:bidi="ar-BH"/>
              </w:rPr>
              <w:t xml:space="preserve"> الرابعة</w:t>
            </w:r>
          </w:p>
          <w:p w14:paraId="1C945F9E" w14:textId="77777777" w:rsidR="00DA4DF6" w:rsidRPr="00DA4DF6" w:rsidRDefault="00DA4DF6" w:rsidP="00710338">
            <w:pPr>
              <w:pStyle w:val="a0"/>
              <w:spacing w:before="120" w:beforeAutospacing="0"/>
              <w:rPr>
                <w:rtl/>
              </w:rPr>
            </w:pPr>
            <w:r w:rsidRPr="00DA4DF6">
              <w:rPr>
                <w:rFonts w:hint="cs"/>
                <w:rtl/>
                <w:lang w:bidi="ar-BH"/>
              </w:rPr>
              <w:t>يجوز للأجنبي الذي أمرت المحكمة بمنعه من مغادرة البحرين طبقا لأحكام المادة الثالثة أن يتظلم من هذا الأمر في أي وقت ويرفع التظلم إلى المحكمة التي أصدرت الأمر. </w:t>
            </w:r>
          </w:p>
          <w:p w14:paraId="3CCA9192" w14:textId="6E604D49" w:rsidR="00DA4DF6" w:rsidRPr="00DA4DF6" w:rsidRDefault="00DA4DF6" w:rsidP="000C6E22">
            <w:pPr>
              <w:pStyle w:val="a0"/>
              <w:spacing w:before="480" w:beforeAutospacing="0"/>
              <w:rPr>
                <w:rtl/>
              </w:rPr>
            </w:pPr>
            <w:r w:rsidRPr="00DA4DF6">
              <w:rPr>
                <w:rFonts w:hint="cs"/>
                <w:rtl/>
                <w:lang w:bidi="ar-BH"/>
              </w:rPr>
              <w:t>للمحكمة أن تأمر بإلغاء هذا الأمر، إذا تبين لها إنه لا جدوى من هذا المنع.</w:t>
            </w:r>
          </w:p>
          <w:p w14:paraId="7595F41B" w14:textId="77777777" w:rsidR="0069576D" w:rsidRDefault="0069576D" w:rsidP="00B85494">
            <w:pPr>
              <w:pStyle w:val="a"/>
              <w:spacing w:before="520"/>
              <w:rPr>
                <w:lang w:bidi="ar-BH"/>
              </w:rPr>
            </w:pPr>
          </w:p>
          <w:p w14:paraId="423F4F87" w14:textId="6B3BF0E8" w:rsidR="00DA4DF6" w:rsidRPr="00DA4DF6" w:rsidRDefault="00DA4DF6" w:rsidP="00B85494">
            <w:pPr>
              <w:pStyle w:val="a"/>
              <w:spacing w:before="520"/>
              <w:rPr>
                <w:rtl/>
              </w:rPr>
            </w:pPr>
            <w:r w:rsidRPr="00DA4DF6">
              <w:rPr>
                <w:rFonts w:hint="cs"/>
                <w:rtl/>
                <w:lang w:bidi="ar-BH"/>
              </w:rPr>
              <w:t>المادة الخامسة</w:t>
            </w:r>
          </w:p>
          <w:p w14:paraId="11DAD572" w14:textId="77777777" w:rsidR="00DA4DF6" w:rsidRPr="00DA4DF6" w:rsidRDefault="00DA4DF6" w:rsidP="00DA4DF6">
            <w:pPr>
              <w:pStyle w:val="a0"/>
              <w:spacing w:before="120" w:after="120"/>
              <w:rPr>
                <w:rtl/>
              </w:rPr>
            </w:pPr>
            <w:r w:rsidRPr="00DA4DF6">
              <w:rPr>
                <w:rFonts w:hint="cs"/>
                <w:rtl/>
                <w:lang w:bidi="ar-BH"/>
              </w:rPr>
              <w:t>يكون التاجر المقيد في السجل التجاري مسئولا بالتضامن مع المشتري والمستأجر عن كافة الالتزامات التي نشأت عن العمل المخالف لهذا القانون.</w:t>
            </w:r>
          </w:p>
          <w:p w14:paraId="0B34FCDC" w14:textId="77777777" w:rsidR="0069576D" w:rsidRDefault="0069576D" w:rsidP="000C6E22">
            <w:pPr>
              <w:pStyle w:val="a0"/>
              <w:spacing w:before="120" w:after="120"/>
              <w:rPr>
                <w:lang w:bidi="ar-BH"/>
              </w:rPr>
            </w:pPr>
          </w:p>
          <w:p w14:paraId="63943587" w14:textId="627FE0AD" w:rsidR="00DA4DF6" w:rsidRPr="00DA4DF6" w:rsidRDefault="00DA4DF6" w:rsidP="000C6E22">
            <w:pPr>
              <w:pStyle w:val="a0"/>
              <w:spacing w:before="120" w:after="120"/>
              <w:rPr>
                <w:rtl/>
              </w:rPr>
            </w:pPr>
            <w:r w:rsidRPr="00DA4DF6">
              <w:rPr>
                <w:rFonts w:hint="cs"/>
                <w:b/>
                <w:bCs/>
                <w:rtl/>
                <w:lang w:bidi="ar-BH"/>
              </w:rPr>
              <w:t>المادة السادسة</w:t>
            </w:r>
          </w:p>
          <w:p w14:paraId="47D667B7" w14:textId="77777777" w:rsidR="00DA4DF6" w:rsidRPr="00DA4DF6" w:rsidRDefault="00DA4DF6" w:rsidP="00DA4DF6">
            <w:pPr>
              <w:pStyle w:val="a0"/>
              <w:spacing w:before="120" w:after="120"/>
              <w:rPr>
                <w:rtl/>
              </w:rPr>
            </w:pPr>
            <w:r w:rsidRPr="00DA4DF6">
              <w:rPr>
                <w:rFonts w:hint="cs"/>
                <w:rtl/>
                <w:lang w:bidi="ar-BH"/>
              </w:rPr>
              <w:lastRenderedPageBreak/>
              <w:t>يمنح بائعو ومؤجرو السجلات التجارية ومؤجرو المحلات التجارية والمشترون والمستأجرون لها الذين تنطبق عليهم أحكام المادة الأولى من هذا القانون مهلة قدرها ستة شهور تبدأ من تاريخ العمل به، وعليهم خلالها تصحيح أوضاع محلاتهم وسجلاتهم التجارية بما يتفق وأحكام هذا القانون، على أن تسري عليهم نصوص هذا القانون بعد انتهاء المهلة المذكورة.</w:t>
            </w:r>
          </w:p>
          <w:p w14:paraId="3E838048" w14:textId="77777777" w:rsidR="00A659F0" w:rsidRDefault="00A659F0" w:rsidP="00A659F0">
            <w:pPr>
              <w:pStyle w:val="a0"/>
              <w:spacing w:before="120" w:after="120"/>
              <w:rPr>
                <w:lang w:bidi="ar-BH"/>
              </w:rPr>
            </w:pPr>
          </w:p>
          <w:p w14:paraId="7D9A474B" w14:textId="4D2C7B50" w:rsidR="00DA4DF6" w:rsidRPr="00DA4DF6" w:rsidRDefault="00DA4DF6" w:rsidP="00A659F0">
            <w:pPr>
              <w:pStyle w:val="a0"/>
              <w:spacing w:before="120" w:after="120"/>
              <w:rPr>
                <w:rtl/>
              </w:rPr>
            </w:pPr>
            <w:r w:rsidRPr="00DA4DF6">
              <w:rPr>
                <w:rFonts w:hint="cs"/>
                <w:rtl/>
                <w:lang w:bidi="ar-BH"/>
              </w:rPr>
              <w:t>المادة السابعة</w:t>
            </w:r>
          </w:p>
          <w:p w14:paraId="22AE0946" w14:textId="77777777" w:rsidR="00DA4DF6" w:rsidRPr="00DA4DF6" w:rsidRDefault="00DA4DF6" w:rsidP="000C6E22">
            <w:pPr>
              <w:pStyle w:val="a0"/>
              <w:spacing w:before="0" w:beforeAutospacing="0"/>
              <w:rPr>
                <w:rtl/>
              </w:rPr>
            </w:pPr>
            <w:r w:rsidRPr="00DA4DF6">
              <w:rPr>
                <w:rFonts w:hint="cs"/>
                <w:rtl/>
                <w:lang w:bidi="ar-BH"/>
              </w:rPr>
              <w:t>يكون للموظفين الذين يندبهم وزير التجارة والزراعة لتنفيذ أحكام هذا القانون سلطة دخول المحال التجارية وضبط المخالفات التي تقع بالمخالفة لأحكامه وتحرير المحاضر وإحالة المخالفين للإدعاء العام .</w:t>
            </w:r>
          </w:p>
          <w:p w14:paraId="7BD5789C" w14:textId="77777777" w:rsidR="00A659F0" w:rsidRDefault="00A659F0" w:rsidP="00A659F0">
            <w:pPr>
              <w:pStyle w:val="a0"/>
              <w:spacing w:before="120" w:after="120"/>
              <w:rPr>
                <w:lang w:bidi="ar-BH"/>
              </w:rPr>
            </w:pPr>
          </w:p>
          <w:p w14:paraId="568F62B4" w14:textId="0964D1E8" w:rsidR="00DA4DF6" w:rsidRPr="00DA4DF6" w:rsidRDefault="00DA4DF6" w:rsidP="00A659F0">
            <w:pPr>
              <w:pStyle w:val="a0"/>
              <w:spacing w:before="120" w:after="120"/>
              <w:rPr>
                <w:rtl/>
              </w:rPr>
            </w:pPr>
            <w:r w:rsidRPr="00DA4DF6">
              <w:rPr>
                <w:rFonts w:hint="cs"/>
                <w:rtl/>
                <w:lang w:bidi="ar-BH"/>
              </w:rPr>
              <w:t>المادة الثامنة</w:t>
            </w:r>
          </w:p>
          <w:p w14:paraId="05F7A8FF" w14:textId="77777777" w:rsidR="00A659F0" w:rsidRDefault="00DA4DF6" w:rsidP="00A659F0">
            <w:pPr>
              <w:pStyle w:val="a0"/>
              <w:spacing w:before="120" w:after="120"/>
              <w:rPr>
                <w:lang w:bidi="ar-BH"/>
              </w:rPr>
            </w:pPr>
            <w:r w:rsidRPr="00DA4DF6">
              <w:rPr>
                <w:rFonts w:hint="cs"/>
                <w:rtl/>
                <w:lang w:bidi="ar-BH"/>
              </w:rPr>
              <w:t>يصدر وزير التجارة والزراعة القرارات اللازمة لتنفيذ هذا القانون.</w:t>
            </w:r>
          </w:p>
          <w:p w14:paraId="6AEC4703" w14:textId="77777777" w:rsidR="00A659F0" w:rsidRDefault="00A659F0" w:rsidP="00A659F0">
            <w:pPr>
              <w:pStyle w:val="a0"/>
              <w:spacing w:before="120" w:after="120"/>
              <w:rPr>
                <w:lang w:bidi="ar-BH"/>
              </w:rPr>
            </w:pPr>
          </w:p>
          <w:p w14:paraId="581F12FD" w14:textId="091AF9C2" w:rsidR="00DA4DF6" w:rsidRPr="00DA4DF6" w:rsidRDefault="00DA4DF6" w:rsidP="00A659F0">
            <w:pPr>
              <w:pStyle w:val="a0"/>
              <w:spacing w:before="120" w:after="120"/>
              <w:rPr>
                <w:rtl/>
              </w:rPr>
            </w:pPr>
            <w:r w:rsidRPr="00DA4DF6">
              <w:rPr>
                <w:rFonts w:hint="cs"/>
                <w:rtl/>
                <w:lang w:bidi="ar-BH"/>
              </w:rPr>
              <w:t>المادة التاسعة</w:t>
            </w:r>
          </w:p>
          <w:p w14:paraId="4B84E022" w14:textId="77777777" w:rsidR="00F33053" w:rsidRDefault="00DA4DF6" w:rsidP="00F33053">
            <w:pPr>
              <w:pStyle w:val="a0"/>
              <w:spacing w:before="240" w:beforeAutospacing="0"/>
              <w:rPr>
                <w:lang w:bidi="ar-BH"/>
              </w:rPr>
            </w:pPr>
            <w:r w:rsidRPr="00DA4DF6">
              <w:rPr>
                <w:rFonts w:hint="cs"/>
                <w:rtl/>
                <w:lang w:bidi="ar-BH"/>
              </w:rPr>
              <w:t>على الوزراء – كل فيما يخصه – تنفيذ هذا القانون، ويعمل به من تاريخ نشره في الجريدة الرسمية.</w:t>
            </w:r>
          </w:p>
          <w:p w14:paraId="20B18288" w14:textId="77777777" w:rsidR="00F33053" w:rsidRDefault="00F33053" w:rsidP="00F33053">
            <w:pPr>
              <w:pStyle w:val="a0"/>
              <w:spacing w:before="240" w:beforeAutospacing="0"/>
              <w:rPr>
                <w:b/>
                <w:bCs/>
                <w:lang w:bidi="ar-BH"/>
              </w:rPr>
            </w:pPr>
          </w:p>
          <w:p w14:paraId="7B7951A6" w14:textId="43975C02" w:rsidR="00DA4DF6" w:rsidRPr="00DA4DF6" w:rsidRDefault="00DA4DF6" w:rsidP="00F33053">
            <w:pPr>
              <w:pStyle w:val="a0"/>
              <w:spacing w:before="240" w:beforeAutospacing="0"/>
              <w:rPr>
                <w:rtl/>
              </w:rPr>
            </w:pPr>
            <w:r w:rsidRPr="00DA4DF6">
              <w:rPr>
                <w:rFonts w:hint="cs"/>
                <w:b/>
                <w:bCs/>
                <w:rtl/>
                <w:lang w:bidi="ar-BH"/>
              </w:rPr>
              <w:t>أمير دولة البحرين بالنيابة</w:t>
            </w:r>
          </w:p>
          <w:p w14:paraId="4BF63F98" w14:textId="79339305" w:rsidR="00A618B2" w:rsidRDefault="00DA4DF6" w:rsidP="00A618B2">
            <w:pPr>
              <w:pStyle w:val="a0"/>
              <w:spacing w:before="0" w:beforeAutospacing="0" w:after="0" w:afterAutospacing="0"/>
              <w:rPr>
                <w:b/>
                <w:bCs/>
                <w:rtl/>
                <w:lang w:bidi="ar-BH"/>
              </w:rPr>
            </w:pPr>
            <w:r w:rsidRPr="00DA4DF6">
              <w:rPr>
                <w:rFonts w:hint="cs"/>
                <w:b/>
                <w:bCs/>
                <w:rtl/>
                <w:lang w:bidi="ar-BH"/>
              </w:rPr>
              <w:t>حمد بن عيسى آل خليفة</w:t>
            </w:r>
          </w:p>
          <w:p w14:paraId="4A9C16FC" w14:textId="77777777" w:rsidR="00A618B2" w:rsidRPr="00DA4DF6" w:rsidRDefault="00A618B2" w:rsidP="00A618B2">
            <w:pPr>
              <w:pStyle w:val="a0"/>
              <w:spacing w:before="0" w:beforeAutospacing="0" w:after="0" w:afterAutospacing="0"/>
              <w:rPr>
                <w:b/>
                <w:bCs/>
                <w:rtl/>
                <w:lang w:bidi="ar-BH"/>
              </w:rPr>
            </w:pPr>
          </w:p>
          <w:p w14:paraId="5583CC8B" w14:textId="77777777" w:rsidR="00DA4DF6" w:rsidRPr="00DA4DF6" w:rsidRDefault="00DA4DF6" w:rsidP="00A618B2">
            <w:pPr>
              <w:pStyle w:val="a0"/>
              <w:spacing w:before="0" w:beforeAutospacing="0" w:after="0" w:afterAutospacing="0"/>
              <w:rPr>
                <w:rtl/>
              </w:rPr>
            </w:pPr>
            <w:r w:rsidRPr="00DA4DF6">
              <w:rPr>
                <w:rFonts w:hint="cs"/>
                <w:rtl/>
                <w:lang w:bidi="ar-BH"/>
              </w:rPr>
              <w:t>صدر في قصر الرفاع</w:t>
            </w:r>
          </w:p>
          <w:p w14:paraId="3C4AC5FD" w14:textId="0FB9B283" w:rsidR="00DA4DF6" w:rsidRPr="00DA4DF6" w:rsidRDefault="00DA4DF6" w:rsidP="00A618B2">
            <w:pPr>
              <w:pStyle w:val="a0"/>
              <w:spacing w:before="0" w:beforeAutospacing="0" w:after="0" w:afterAutospacing="0"/>
              <w:rPr>
                <w:rtl/>
              </w:rPr>
            </w:pPr>
            <w:r w:rsidRPr="00DA4DF6">
              <w:rPr>
                <w:rFonts w:hint="cs"/>
                <w:rtl/>
                <w:lang w:bidi="ar-BH"/>
              </w:rPr>
              <w:t>بتاريخ:</w:t>
            </w:r>
            <w:r w:rsidR="00BF3B05">
              <w:rPr>
                <w:rFonts w:cs="Times New Roman" w:hint="cs"/>
                <w:rtl/>
                <w:lang w:bidi="ar-BH"/>
              </w:rPr>
              <w:t xml:space="preserve"> </w:t>
            </w:r>
            <w:r w:rsidRPr="00DA4DF6">
              <w:rPr>
                <w:rFonts w:hint="cs"/>
                <w:rtl/>
                <w:lang w:bidi="ar-BH"/>
              </w:rPr>
              <w:t>13 جمادي الآخرة 1407 هـ</w:t>
            </w:r>
          </w:p>
          <w:p w14:paraId="36012E7A" w14:textId="1A4F5D7A" w:rsidR="007D66B0" w:rsidRPr="00DA4DF6" w:rsidRDefault="00DA4DF6" w:rsidP="0069576D">
            <w:pPr>
              <w:pStyle w:val="a0"/>
              <w:spacing w:before="0" w:beforeAutospacing="0" w:after="0" w:afterAutospacing="0"/>
            </w:pPr>
            <w:r w:rsidRPr="00DA4DF6">
              <w:rPr>
                <w:rFonts w:hint="cs"/>
                <w:rtl/>
                <w:lang w:bidi="ar-BH"/>
              </w:rPr>
              <w:t>الموافق:</w:t>
            </w:r>
            <w:r w:rsidR="00BF3B05">
              <w:rPr>
                <w:rFonts w:cs="Times New Roman" w:hint="cs"/>
                <w:rtl/>
                <w:lang w:bidi="ar-BH"/>
              </w:rPr>
              <w:t xml:space="preserve"> </w:t>
            </w:r>
            <w:r w:rsidRPr="00DA4DF6">
              <w:rPr>
                <w:rFonts w:hint="cs"/>
                <w:rtl/>
                <w:lang w:bidi="ar-BH"/>
              </w:rPr>
              <w:t>12 فبراير 1987 م</w:t>
            </w:r>
          </w:p>
        </w:tc>
      </w:tr>
    </w:tbl>
    <w:p w14:paraId="44448953" w14:textId="77777777" w:rsidR="007D66B0" w:rsidRPr="007D66B0" w:rsidRDefault="007D66B0" w:rsidP="00271FDB">
      <w:pPr>
        <w:rPr>
          <w:lang w:val="en-GB"/>
        </w:rPr>
      </w:pPr>
    </w:p>
    <w:sectPr w:rsidR="007D66B0" w:rsidRPr="007D66B0" w:rsidSect="00677947">
      <w:headerReference w:type="even" r:id="rId12"/>
      <w:headerReference w:type="default" r:id="rId13"/>
      <w:headerReference w:type="first" r:id="rId14"/>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8AE0" w14:textId="77777777" w:rsidR="00A0501A" w:rsidRDefault="00A0501A" w:rsidP="008E61EB">
      <w:r>
        <w:separator/>
      </w:r>
    </w:p>
  </w:endnote>
  <w:endnote w:type="continuationSeparator" w:id="0">
    <w:p w14:paraId="0D0CE75D" w14:textId="77777777" w:rsidR="00A0501A" w:rsidRDefault="00A0501A"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C7E3" w14:textId="77777777" w:rsidR="00A0501A" w:rsidRDefault="00A0501A" w:rsidP="008E61EB">
      <w:r>
        <w:separator/>
      </w:r>
    </w:p>
  </w:footnote>
  <w:footnote w:type="continuationSeparator" w:id="0">
    <w:p w14:paraId="568345BF" w14:textId="77777777" w:rsidR="00A0501A" w:rsidRDefault="00A0501A"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A0501A">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7"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C042" w14:textId="4845015F" w:rsidR="008239DA" w:rsidRDefault="00A0501A">
    <w:pPr>
      <w:pStyle w:val="Kopfzeile"/>
    </w:pPr>
    <w:r>
      <w:rPr>
        <w:noProof/>
      </w:rPr>
      <w:pict w14:anchorId="1A527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8" o:spid="_x0000_s1026" type="#_x0000_t75" alt="" style="position:absolute;margin-left:-36.2pt;margin-top:-73.7pt;width:842.15pt;height:595.45pt;z-index:-251656192;mso-wrap-edited:f;mso-width-percent:0;mso-height-percent:0;mso-position-horizontal-relative:margin;mso-position-vertical-relative:margin;mso-width-percent:0;mso-height-percent:0" o:allowincell="f">
          <v:imagedata r:id="rId1" o:title="Artboard 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A0501A">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86F"/>
    <w:multiLevelType w:val="multilevel"/>
    <w:tmpl w:val="0BF656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1A20"/>
    <w:multiLevelType w:val="hybridMultilevel"/>
    <w:tmpl w:val="CA30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A0DF0"/>
    <w:multiLevelType w:val="hybridMultilevel"/>
    <w:tmpl w:val="E16C894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B3889"/>
    <w:multiLevelType w:val="multilevel"/>
    <w:tmpl w:val="0D42D8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14FEF"/>
    <w:multiLevelType w:val="multilevel"/>
    <w:tmpl w:val="B202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23345"/>
    <w:multiLevelType w:val="hybridMultilevel"/>
    <w:tmpl w:val="45CAA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6904C8"/>
    <w:multiLevelType w:val="multilevel"/>
    <w:tmpl w:val="552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25DCA"/>
    <w:multiLevelType w:val="hybridMultilevel"/>
    <w:tmpl w:val="B754B50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F91F53"/>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A25E9"/>
    <w:multiLevelType w:val="multilevel"/>
    <w:tmpl w:val="2672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06CF7"/>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51DAF"/>
    <w:multiLevelType w:val="multilevel"/>
    <w:tmpl w:val="649C48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60E92"/>
    <w:multiLevelType w:val="hybridMultilevel"/>
    <w:tmpl w:val="5324FD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4F1176"/>
    <w:multiLevelType w:val="multilevel"/>
    <w:tmpl w:val="63E6C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F1E19"/>
    <w:multiLevelType w:val="hybridMultilevel"/>
    <w:tmpl w:val="93FEF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E40D5B"/>
    <w:multiLevelType w:val="hybridMultilevel"/>
    <w:tmpl w:val="0B2CE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45312F"/>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23E03"/>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B5F88"/>
    <w:multiLevelType w:val="multilevel"/>
    <w:tmpl w:val="5FA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5437F"/>
    <w:multiLevelType w:val="multilevel"/>
    <w:tmpl w:val="4B62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3623C"/>
    <w:multiLevelType w:val="multilevel"/>
    <w:tmpl w:val="DBD6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35771"/>
    <w:multiLevelType w:val="hybridMultilevel"/>
    <w:tmpl w:val="C6D45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951F2C"/>
    <w:multiLevelType w:val="multilevel"/>
    <w:tmpl w:val="32EA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E4909"/>
    <w:multiLevelType w:val="multilevel"/>
    <w:tmpl w:val="597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45A3E"/>
    <w:multiLevelType w:val="hybridMultilevel"/>
    <w:tmpl w:val="9120F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5D4F7E"/>
    <w:multiLevelType w:val="hybridMultilevel"/>
    <w:tmpl w:val="6FF440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9066C5"/>
    <w:multiLevelType w:val="hybridMultilevel"/>
    <w:tmpl w:val="A57C0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C44F3"/>
    <w:multiLevelType w:val="multilevel"/>
    <w:tmpl w:val="59742E0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8" w15:restartNumberingAfterBreak="0">
    <w:nsid w:val="4D1B4934"/>
    <w:multiLevelType w:val="hybridMultilevel"/>
    <w:tmpl w:val="149855D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A83997"/>
    <w:multiLevelType w:val="hybridMultilevel"/>
    <w:tmpl w:val="1B1C66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3C0836"/>
    <w:multiLevelType w:val="hybridMultilevel"/>
    <w:tmpl w:val="E0D02E6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7D0BD9"/>
    <w:multiLevelType w:val="multilevel"/>
    <w:tmpl w:val="8AEC1E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CE054F"/>
    <w:multiLevelType w:val="multilevel"/>
    <w:tmpl w:val="B9E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45EBE"/>
    <w:multiLevelType w:val="multilevel"/>
    <w:tmpl w:val="BE00A3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814D59"/>
    <w:multiLevelType w:val="multilevel"/>
    <w:tmpl w:val="408E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B1A4E"/>
    <w:multiLevelType w:val="hybridMultilevel"/>
    <w:tmpl w:val="A95CCC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F01447"/>
    <w:multiLevelType w:val="hybridMultilevel"/>
    <w:tmpl w:val="1D04985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4A04A9"/>
    <w:multiLevelType w:val="hybridMultilevel"/>
    <w:tmpl w:val="EDBE2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2F3DA0"/>
    <w:multiLevelType w:val="multilevel"/>
    <w:tmpl w:val="E97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B30327"/>
    <w:multiLevelType w:val="multilevel"/>
    <w:tmpl w:val="E97A97A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40" w15:restartNumberingAfterBreak="0">
    <w:nsid w:val="7393243E"/>
    <w:multiLevelType w:val="hybridMultilevel"/>
    <w:tmpl w:val="1D6616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8F1AB4"/>
    <w:multiLevelType w:val="multilevel"/>
    <w:tmpl w:val="5E04234A"/>
    <w:lvl w:ilvl="0">
      <w:start w:val="1"/>
      <w:numFmt w:val="lowerLetter"/>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2"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D05FF9"/>
    <w:multiLevelType w:val="hybridMultilevel"/>
    <w:tmpl w:val="279AAA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4D69D4"/>
    <w:multiLevelType w:val="multilevel"/>
    <w:tmpl w:val="63E6C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2321A"/>
    <w:multiLevelType w:val="multilevel"/>
    <w:tmpl w:val="B21A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7B6DB6"/>
    <w:multiLevelType w:val="multilevel"/>
    <w:tmpl w:val="B9E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926889">
    <w:abstractNumId w:val="6"/>
  </w:num>
  <w:num w:numId="2" w16cid:durableId="288318741">
    <w:abstractNumId w:val="38"/>
  </w:num>
  <w:num w:numId="3" w16cid:durableId="471949673">
    <w:abstractNumId w:val="44"/>
  </w:num>
  <w:num w:numId="4" w16cid:durableId="1795710035">
    <w:abstractNumId w:val="32"/>
  </w:num>
  <w:num w:numId="5" w16cid:durableId="671225360">
    <w:abstractNumId w:val="17"/>
  </w:num>
  <w:num w:numId="6" w16cid:durableId="498889131">
    <w:abstractNumId w:val="31"/>
  </w:num>
  <w:num w:numId="7" w16cid:durableId="236327973">
    <w:abstractNumId w:val="19"/>
  </w:num>
  <w:num w:numId="8" w16cid:durableId="95829930">
    <w:abstractNumId w:val="34"/>
  </w:num>
  <w:num w:numId="9" w16cid:durableId="760418299">
    <w:abstractNumId w:val="18"/>
  </w:num>
  <w:num w:numId="10" w16cid:durableId="971442615">
    <w:abstractNumId w:val="4"/>
  </w:num>
  <w:num w:numId="11" w16cid:durableId="1848398695">
    <w:abstractNumId w:val="45"/>
  </w:num>
  <w:num w:numId="12" w16cid:durableId="1351184140">
    <w:abstractNumId w:val="33"/>
  </w:num>
  <w:num w:numId="13" w16cid:durableId="1663655330">
    <w:abstractNumId w:val="20"/>
  </w:num>
  <w:num w:numId="14" w16cid:durableId="1388644799">
    <w:abstractNumId w:val="42"/>
  </w:num>
  <w:num w:numId="15" w16cid:durableId="363219130">
    <w:abstractNumId w:val="22"/>
  </w:num>
  <w:num w:numId="16" w16cid:durableId="1373798221">
    <w:abstractNumId w:val="9"/>
  </w:num>
  <w:num w:numId="17" w16cid:durableId="1801461162">
    <w:abstractNumId w:val="26"/>
  </w:num>
  <w:num w:numId="18" w16cid:durableId="911544083">
    <w:abstractNumId w:val="1"/>
  </w:num>
  <w:num w:numId="19" w16cid:durableId="1628587295">
    <w:abstractNumId w:val="37"/>
  </w:num>
  <w:num w:numId="20" w16cid:durableId="808790053">
    <w:abstractNumId w:val="21"/>
  </w:num>
  <w:num w:numId="21" w16cid:durableId="436103992">
    <w:abstractNumId w:val="14"/>
  </w:num>
  <w:num w:numId="22" w16cid:durableId="235748512">
    <w:abstractNumId w:val="8"/>
  </w:num>
  <w:num w:numId="23" w16cid:durableId="418019596">
    <w:abstractNumId w:val="3"/>
  </w:num>
  <w:num w:numId="24" w16cid:durableId="1119224996">
    <w:abstractNumId w:val="23"/>
  </w:num>
  <w:num w:numId="25" w16cid:durableId="129565518">
    <w:abstractNumId w:val="46"/>
  </w:num>
  <w:num w:numId="26" w16cid:durableId="926645840">
    <w:abstractNumId w:val="13"/>
  </w:num>
  <w:num w:numId="27" w16cid:durableId="585847528">
    <w:abstractNumId w:val="27"/>
  </w:num>
  <w:num w:numId="28" w16cid:durableId="1491603484">
    <w:abstractNumId w:val="25"/>
  </w:num>
  <w:num w:numId="29" w16cid:durableId="863635655">
    <w:abstractNumId w:val="35"/>
  </w:num>
  <w:num w:numId="30" w16cid:durableId="2132818741">
    <w:abstractNumId w:val="7"/>
  </w:num>
  <w:num w:numId="31" w16cid:durableId="449591416">
    <w:abstractNumId w:val="2"/>
  </w:num>
  <w:num w:numId="32" w16cid:durableId="924220873">
    <w:abstractNumId w:val="28"/>
  </w:num>
  <w:num w:numId="33" w16cid:durableId="238713370">
    <w:abstractNumId w:val="12"/>
  </w:num>
  <w:num w:numId="34" w16cid:durableId="365639148">
    <w:abstractNumId w:val="30"/>
  </w:num>
  <w:num w:numId="35" w16cid:durableId="204757991">
    <w:abstractNumId w:val="43"/>
  </w:num>
  <w:num w:numId="36" w16cid:durableId="1356804275">
    <w:abstractNumId w:val="39"/>
  </w:num>
  <w:num w:numId="37" w16cid:durableId="1716812000">
    <w:abstractNumId w:val="0"/>
  </w:num>
  <w:num w:numId="38" w16cid:durableId="105777076">
    <w:abstractNumId w:val="16"/>
  </w:num>
  <w:num w:numId="39" w16cid:durableId="1393578603">
    <w:abstractNumId w:val="10"/>
  </w:num>
  <w:num w:numId="40" w16cid:durableId="1945917049">
    <w:abstractNumId w:val="11"/>
  </w:num>
  <w:num w:numId="41" w16cid:durableId="162934570">
    <w:abstractNumId w:val="5"/>
  </w:num>
  <w:num w:numId="42" w16cid:durableId="778373219">
    <w:abstractNumId w:val="40"/>
  </w:num>
  <w:num w:numId="43" w16cid:durableId="547568560">
    <w:abstractNumId w:val="29"/>
  </w:num>
  <w:num w:numId="44" w16cid:durableId="457072125">
    <w:abstractNumId w:val="36"/>
  </w:num>
  <w:num w:numId="45" w16cid:durableId="2031107240">
    <w:abstractNumId w:val="24"/>
  </w:num>
  <w:num w:numId="46" w16cid:durableId="548297514">
    <w:abstractNumId w:val="15"/>
  </w:num>
  <w:num w:numId="47" w16cid:durableId="346829304">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07BCA"/>
    <w:rsid w:val="00011100"/>
    <w:rsid w:val="00011F84"/>
    <w:rsid w:val="000172EC"/>
    <w:rsid w:val="00022435"/>
    <w:rsid w:val="00022FEC"/>
    <w:rsid w:val="000232A3"/>
    <w:rsid w:val="00033AF4"/>
    <w:rsid w:val="0003613F"/>
    <w:rsid w:val="00042EA0"/>
    <w:rsid w:val="00055BF7"/>
    <w:rsid w:val="000609BF"/>
    <w:rsid w:val="000637E0"/>
    <w:rsid w:val="000648B8"/>
    <w:rsid w:val="00073CD6"/>
    <w:rsid w:val="00075CB3"/>
    <w:rsid w:val="00077500"/>
    <w:rsid w:val="00080B0A"/>
    <w:rsid w:val="00083E70"/>
    <w:rsid w:val="000871A9"/>
    <w:rsid w:val="00093BDD"/>
    <w:rsid w:val="00094199"/>
    <w:rsid w:val="0009582D"/>
    <w:rsid w:val="000A305B"/>
    <w:rsid w:val="000A3109"/>
    <w:rsid w:val="000A3B0A"/>
    <w:rsid w:val="000B109D"/>
    <w:rsid w:val="000B756D"/>
    <w:rsid w:val="000C6E22"/>
    <w:rsid w:val="000D2707"/>
    <w:rsid w:val="000D2959"/>
    <w:rsid w:val="000D5EBD"/>
    <w:rsid w:val="000D72A4"/>
    <w:rsid w:val="000E13BA"/>
    <w:rsid w:val="000E7C55"/>
    <w:rsid w:val="000F311C"/>
    <w:rsid w:val="000F325E"/>
    <w:rsid w:val="00104A9F"/>
    <w:rsid w:val="001055CF"/>
    <w:rsid w:val="00105E2D"/>
    <w:rsid w:val="00107923"/>
    <w:rsid w:val="0012085E"/>
    <w:rsid w:val="00122F6E"/>
    <w:rsid w:val="00123B4B"/>
    <w:rsid w:val="00131604"/>
    <w:rsid w:val="00131ACA"/>
    <w:rsid w:val="00132DF1"/>
    <w:rsid w:val="00135E5D"/>
    <w:rsid w:val="00136346"/>
    <w:rsid w:val="00136B4C"/>
    <w:rsid w:val="00145281"/>
    <w:rsid w:val="001454F9"/>
    <w:rsid w:val="00152A63"/>
    <w:rsid w:val="0015526A"/>
    <w:rsid w:val="00170CF3"/>
    <w:rsid w:val="0017122A"/>
    <w:rsid w:val="00171A09"/>
    <w:rsid w:val="0017305B"/>
    <w:rsid w:val="0018206F"/>
    <w:rsid w:val="00186746"/>
    <w:rsid w:val="00187F10"/>
    <w:rsid w:val="001A677B"/>
    <w:rsid w:val="001B2DCF"/>
    <w:rsid w:val="001B3D05"/>
    <w:rsid w:val="001B52E4"/>
    <w:rsid w:val="001C4D6F"/>
    <w:rsid w:val="001C5325"/>
    <w:rsid w:val="001D07EF"/>
    <w:rsid w:val="001E0774"/>
    <w:rsid w:val="001E75A6"/>
    <w:rsid w:val="001F05AE"/>
    <w:rsid w:val="001F08E4"/>
    <w:rsid w:val="00201A38"/>
    <w:rsid w:val="002059DD"/>
    <w:rsid w:val="00212C88"/>
    <w:rsid w:val="0022193F"/>
    <w:rsid w:val="002219A3"/>
    <w:rsid w:val="00222C85"/>
    <w:rsid w:val="0023096D"/>
    <w:rsid w:val="002313AF"/>
    <w:rsid w:val="002335E1"/>
    <w:rsid w:val="0024221C"/>
    <w:rsid w:val="0024545F"/>
    <w:rsid w:val="002466D3"/>
    <w:rsid w:val="00247E50"/>
    <w:rsid w:val="00255E17"/>
    <w:rsid w:val="00256910"/>
    <w:rsid w:val="00260ABB"/>
    <w:rsid w:val="002679F3"/>
    <w:rsid w:val="00270F3F"/>
    <w:rsid w:val="00271FDB"/>
    <w:rsid w:val="00282662"/>
    <w:rsid w:val="00285152"/>
    <w:rsid w:val="00290180"/>
    <w:rsid w:val="00290769"/>
    <w:rsid w:val="00292BAF"/>
    <w:rsid w:val="00296E6F"/>
    <w:rsid w:val="002A5279"/>
    <w:rsid w:val="002B15DD"/>
    <w:rsid w:val="002B553F"/>
    <w:rsid w:val="002B611C"/>
    <w:rsid w:val="002C1051"/>
    <w:rsid w:val="002E5B9B"/>
    <w:rsid w:val="002F062C"/>
    <w:rsid w:val="002F1445"/>
    <w:rsid w:val="002F1A44"/>
    <w:rsid w:val="002F1AEE"/>
    <w:rsid w:val="00311D6B"/>
    <w:rsid w:val="00322027"/>
    <w:rsid w:val="003220C6"/>
    <w:rsid w:val="00323AAB"/>
    <w:rsid w:val="00323DA0"/>
    <w:rsid w:val="003248EA"/>
    <w:rsid w:val="00324D82"/>
    <w:rsid w:val="00341D15"/>
    <w:rsid w:val="00342BAF"/>
    <w:rsid w:val="003455DB"/>
    <w:rsid w:val="003515DA"/>
    <w:rsid w:val="00351678"/>
    <w:rsid w:val="00354B90"/>
    <w:rsid w:val="00363FFA"/>
    <w:rsid w:val="00375DA2"/>
    <w:rsid w:val="0037799C"/>
    <w:rsid w:val="00383498"/>
    <w:rsid w:val="00385D8B"/>
    <w:rsid w:val="003907C1"/>
    <w:rsid w:val="00392C09"/>
    <w:rsid w:val="00397A63"/>
    <w:rsid w:val="003A04A2"/>
    <w:rsid w:val="003A0A6F"/>
    <w:rsid w:val="003A2842"/>
    <w:rsid w:val="003B3026"/>
    <w:rsid w:val="003B5125"/>
    <w:rsid w:val="003B5BE9"/>
    <w:rsid w:val="003B7348"/>
    <w:rsid w:val="003B7CB1"/>
    <w:rsid w:val="003C2D66"/>
    <w:rsid w:val="003C4838"/>
    <w:rsid w:val="003C54F4"/>
    <w:rsid w:val="003C561A"/>
    <w:rsid w:val="003C5DBD"/>
    <w:rsid w:val="003D19A9"/>
    <w:rsid w:val="003D326B"/>
    <w:rsid w:val="003D638B"/>
    <w:rsid w:val="003E6C42"/>
    <w:rsid w:val="003F52C7"/>
    <w:rsid w:val="003F56F3"/>
    <w:rsid w:val="00404720"/>
    <w:rsid w:val="00416E63"/>
    <w:rsid w:val="00421044"/>
    <w:rsid w:val="00421B39"/>
    <w:rsid w:val="0042562C"/>
    <w:rsid w:val="00435267"/>
    <w:rsid w:val="00445354"/>
    <w:rsid w:val="0045290B"/>
    <w:rsid w:val="0045518F"/>
    <w:rsid w:val="00456C5D"/>
    <w:rsid w:val="00460DA8"/>
    <w:rsid w:val="0046713B"/>
    <w:rsid w:val="00470F8A"/>
    <w:rsid w:val="004754EF"/>
    <w:rsid w:val="00490243"/>
    <w:rsid w:val="004910A0"/>
    <w:rsid w:val="004A15FC"/>
    <w:rsid w:val="004A5659"/>
    <w:rsid w:val="004A603A"/>
    <w:rsid w:val="004A68A2"/>
    <w:rsid w:val="004A7A3C"/>
    <w:rsid w:val="004B0558"/>
    <w:rsid w:val="004B535E"/>
    <w:rsid w:val="004B7609"/>
    <w:rsid w:val="004C0439"/>
    <w:rsid w:val="004C2311"/>
    <w:rsid w:val="004C33AD"/>
    <w:rsid w:val="004C72D1"/>
    <w:rsid w:val="004C79FC"/>
    <w:rsid w:val="004E2D9E"/>
    <w:rsid w:val="004E5080"/>
    <w:rsid w:val="004F1661"/>
    <w:rsid w:val="004F1FA5"/>
    <w:rsid w:val="004F37C6"/>
    <w:rsid w:val="00500FF1"/>
    <w:rsid w:val="005028E3"/>
    <w:rsid w:val="0050740A"/>
    <w:rsid w:val="00511D29"/>
    <w:rsid w:val="00512A60"/>
    <w:rsid w:val="005155D5"/>
    <w:rsid w:val="00530F73"/>
    <w:rsid w:val="00532F38"/>
    <w:rsid w:val="00533964"/>
    <w:rsid w:val="005418BA"/>
    <w:rsid w:val="00541969"/>
    <w:rsid w:val="00543A67"/>
    <w:rsid w:val="00543DAD"/>
    <w:rsid w:val="00552DA8"/>
    <w:rsid w:val="00562851"/>
    <w:rsid w:val="00565076"/>
    <w:rsid w:val="00565833"/>
    <w:rsid w:val="005677F1"/>
    <w:rsid w:val="00570FB8"/>
    <w:rsid w:val="00590245"/>
    <w:rsid w:val="005A2415"/>
    <w:rsid w:val="005A2705"/>
    <w:rsid w:val="005A2965"/>
    <w:rsid w:val="005A50A2"/>
    <w:rsid w:val="005A7E5F"/>
    <w:rsid w:val="005B6418"/>
    <w:rsid w:val="005B7EA2"/>
    <w:rsid w:val="005C3B44"/>
    <w:rsid w:val="005C40A4"/>
    <w:rsid w:val="005C727C"/>
    <w:rsid w:val="005D17C1"/>
    <w:rsid w:val="005D6386"/>
    <w:rsid w:val="005D71EB"/>
    <w:rsid w:val="005E28DF"/>
    <w:rsid w:val="005E57E0"/>
    <w:rsid w:val="005E6B35"/>
    <w:rsid w:val="005E6F8C"/>
    <w:rsid w:val="00600454"/>
    <w:rsid w:val="00600A99"/>
    <w:rsid w:val="00601827"/>
    <w:rsid w:val="006034FD"/>
    <w:rsid w:val="00611A11"/>
    <w:rsid w:val="006145B4"/>
    <w:rsid w:val="006179C7"/>
    <w:rsid w:val="00634F46"/>
    <w:rsid w:val="00642CBD"/>
    <w:rsid w:val="006468B6"/>
    <w:rsid w:val="006501AC"/>
    <w:rsid w:val="00652F29"/>
    <w:rsid w:val="00655282"/>
    <w:rsid w:val="00655318"/>
    <w:rsid w:val="00660678"/>
    <w:rsid w:val="00660722"/>
    <w:rsid w:val="00660C16"/>
    <w:rsid w:val="00661C21"/>
    <w:rsid w:val="00663B9E"/>
    <w:rsid w:val="00676891"/>
    <w:rsid w:val="00677476"/>
    <w:rsid w:val="00677947"/>
    <w:rsid w:val="00677F28"/>
    <w:rsid w:val="00690FAA"/>
    <w:rsid w:val="006910BE"/>
    <w:rsid w:val="0069576D"/>
    <w:rsid w:val="006A5418"/>
    <w:rsid w:val="006A7504"/>
    <w:rsid w:val="006A7E4C"/>
    <w:rsid w:val="006B5AF7"/>
    <w:rsid w:val="006C5000"/>
    <w:rsid w:val="006C59E1"/>
    <w:rsid w:val="006C5E6C"/>
    <w:rsid w:val="006D46A3"/>
    <w:rsid w:val="006E1E61"/>
    <w:rsid w:val="006E78B9"/>
    <w:rsid w:val="00710338"/>
    <w:rsid w:val="00711440"/>
    <w:rsid w:val="00715A12"/>
    <w:rsid w:val="007167CA"/>
    <w:rsid w:val="007176F3"/>
    <w:rsid w:val="00717DA9"/>
    <w:rsid w:val="00722AB3"/>
    <w:rsid w:val="007349C2"/>
    <w:rsid w:val="00741666"/>
    <w:rsid w:val="00743DAA"/>
    <w:rsid w:val="007502DE"/>
    <w:rsid w:val="00763C01"/>
    <w:rsid w:val="00764EB1"/>
    <w:rsid w:val="00766306"/>
    <w:rsid w:val="00766B59"/>
    <w:rsid w:val="007734EC"/>
    <w:rsid w:val="00781DAB"/>
    <w:rsid w:val="007847AF"/>
    <w:rsid w:val="0078660A"/>
    <w:rsid w:val="007945D9"/>
    <w:rsid w:val="007955F7"/>
    <w:rsid w:val="00796D65"/>
    <w:rsid w:val="007A13DC"/>
    <w:rsid w:val="007A3537"/>
    <w:rsid w:val="007A35F8"/>
    <w:rsid w:val="007A3DE7"/>
    <w:rsid w:val="007A6E9E"/>
    <w:rsid w:val="007B2BBF"/>
    <w:rsid w:val="007C4BF6"/>
    <w:rsid w:val="007C76AC"/>
    <w:rsid w:val="007D3247"/>
    <w:rsid w:val="007D5444"/>
    <w:rsid w:val="007D66B0"/>
    <w:rsid w:val="007E2B91"/>
    <w:rsid w:val="007F2BFE"/>
    <w:rsid w:val="007F6214"/>
    <w:rsid w:val="007F621B"/>
    <w:rsid w:val="00802DFF"/>
    <w:rsid w:val="008048F6"/>
    <w:rsid w:val="008108B9"/>
    <w:rsid w:val="00812887"/>
    <w:rsid w:val="00813376"/>
    <w:rsid w:val="00815189"/>
    <w:rsid w:val="00817D01"/>
    <w:rsid w:val="00820517"/>
    <w:rsid w:val="008239DA"/>
    <w:rsid w:val="00830E74"/>
    <w:rsid w:val="008341CD"/>
    <w:rsid w:val="008427A5"/>
    <w:rsid w:val="00846C5D"/>
    <w:rsid w:val="00854038"/>
    <w:rsid w:val="00855DE9"/>
    <w:rsid w:val="00875223"/>
    <w:rsid w:val="00876C76"/>
    <w:rsid w:val="00877702"/>
    <w:rsid w:val="008820FB"/>
    <w:rsid w:val="0088211A"/>
    <w:rsid w:val="00882E31"/>
    <w:rsid w:val="00885C4A"/>
    <w:rsid w:val="00890688"/>
    <w:rsid w:val="00890BE8"/>
    <w:rsid w:val="00894E26"/>
    <w:rsid w:val="008A28BB"/>
    <w:rsid w:val="008A67A9"/>
    <w:rsid w:val="008A6D3A"/>
    <w:rsid w:val="008C03AD"/>
    <w:rsid w:val="008E1EC1"/>
    <w:rsid w:val="008E2A21"/>
    <w:rsid w:val="008E367F"/>
    <w:rsid w:val="008E61EB"/>
    <w:rsid w:val="008E64ED"/>
    <w:rsid w:val="009027FF"/>
    <w:rsid w:val="009041D5"/>
    <w:rsid w:val="00916621"/>
    <w:rsid w:val="00916B2A"/>
    <w:rsid w:val="00920432"/>
    <w:rsid w:val="00921D79"/>
    <w:rsid w:val="00936CAA"/>
    <w:rsid w:val="009568D2"/>
    <w:rsid w:val="00961EA5"/>
    <w:rsid w:val="00970B09"/>
    <w:rsid w:val="00970D58"/>
    <w:rsid w:val="00974A4E"/>
    <w:rsid w:val="00975047"/>
    <w:rsid w:val="009751E3"/>
    <w:rsid w:val="009769B5"/>
    <w:rsid w:val="00981421"/>
    <w:rsid w:val="009850B1"/>
    <w:rsid w:val="009916FC"/>
    <w:rsid w:val="009C31DF"/>
    <w:rsid w:val="009C7C39"/>
    <w:rsid w:val="009E00B4"/>
    <w:rsid w:val="009E12FD"/>
    <w:rsid w:val="009E64D6"/>
    <w:rsid w:val="009E6703"/>
    <w:rsid w:val="00A043F6"/>
    <w:rsid w:val="00A0501A"/>
    <w:rsid w:val="00A066B0"/>
    <w:rsid w:val="00A079DC"/>
    <w:rsid w:val="00A10353"/>
    <w:rsid w:val="00A11CF6"/>
    <w:rsid w:val="00A17523"/>
    <w:rsid w:val="00A3135E"/>
    <w:rsid w:val="00A31521"/>
    <w:rsid w:val="00A33A83"/>
    <w:rsid w:val="00A41CE1"/>
    <w:rsid w:val="00A605B0"/>
    <w:rsid w:val="00A60F91"/>
    <w:rsid w:val="00A612D7"/>
    <w:rsid w:val="00A618B2"/>
    <w:rsid w:val="00A63D56"/>
    <w:rsid w:val="00A63DF1"/>
    <w:rsid w:val="00A6563B"/>
    <w:rsid w:val="00A65824"/>
    <w:rsid w:val="00A659F0"/>
    <w:rsid w:val="00A66958"/>
    <w:rsid w:val="00A74600"/>
    <w:rsid w:val="00A7509F"/>
    <w:rsid w:val="00A8428B"/>
    <w:rsid w:val="00AA2F3F"/>
    <w:rsid w:val="00AA7672"/>
    <w:rsid w:val="00AB0773"/>
    <w:rsid w:val="00AB274C"/>
    <w:rsid w:val="00AB2DB3"/>
    <w:rsid w:val="00AC1A52"/>
    <w:rsid w:val="00AC2E3E"/>
    <w:rsid w:val="00AC5CB6"/>
    <w:rsid w:val="00AC6B87"/>
    <w:rsid w:val="00AD07F4"/>
    <w:rsid w:val="00AD28C6"/>
    <w:rsid w:val="00AE4ABD"/>
    <w:rsid w:val="00AE4B0C"/>
    <w:rsid w:val="00AE595C"/>
    <w:rsid w:val="00B03B01"/>
    <w:rsid w:val="00B11EA4"/>
    <w:rsid w:val="00B1304A"/>
    <w:rsid w:val="00B16705"/>
    <w:rsid w:val="00B21878"/>
    <w:rsid w:val="00B21A7E"/>
    <w:rsid w:val="00B229B5"/>
    <w:rsid w:val="00B23A83"/>
    <w:rsid w:val="00B25836"/>
    <w:rsid w:val="00B50EF8"/>
    <w:rsid w:val="00B52A54"/>
    <w:rsid w:val="00B55D54"/>
    <w:rsid w:val="00B62B27"/>
    <w:rsid w:val="00B67A0A"/>
    <w:rsid w:val="00B70416"/>
    <w:rsid w:val="00B71CC2"/>
    <w:rsid w:val="00B74D38"/>
    <w:rsid w:val="00B7776D"/>
    <w:rsid w:val="00B84C0E"/>
    <w:rsid w:val="00B85494"/>
    <w:rsid w:val="00B8662B"/>
    <w:rsid w:val="00B92F2F"/>
    <w:rsid w:val="00BA0EF7"/>
    <w:rsid w:val="00BA15A8"/>
    <w:rsid w:val="00BB0E38"/>
    <w:rsid w:val="00BB1458"/>
    <w:rsid w:val="00BB2057"/>
    <w:rsid w:val="00BB663B"/>
    <w:rsid w:val="00BB79C8"/>
    <w:rsid w:val="00BC0A07"/>
    <w:rsid w:val="00BC1F6F"/>
    <w:rsid w:val="00BC21BC"/>
    <w:rsid w:val="00BC425A"/>
    <w:rsid w:val="00BC465A"/>
    <w:rsid w:val="00BC4AE2"/>
    <w:rsid w:val="00BD38BB"/>
    <w:rsid w:val="00BE03FB"/>
    <w:rsid w:val="00BE0DB9"/>
    <w:rsid w:val="00BE1B5E"/>
    <w:rsid w:val="00BE5424"/>
    <w:rsid w:val="00BE5823"/>
    <w:rsid w:val="00BE6008"/>
    <w:rsid w:val="00BF1FD2"/>
    <w:rsid w:val="00BF3B05"/>
    <w:rsid w:val="00C00032"/>
    <w:rsid w:val="00C05DA2"/>
    <w:rsid w:val="00C077E6"/>
    <w:rsid w:val="00C115EB"/>
    <w:rsid w:val="00C127E4"/>
    <w:rsid w:val="00C1473B"/>
    <w:rsid w:val="00C20777"/>
    <w:rsid w:val="00C223B9"/>
    <w:rsid w:val="00C35D38"/>
    <w:rsid w:val="00C360B3"/>
    <w:rsid w:val="00C4485F"/>
    <w:rsid w:val="00C44BFA"/>
    <w:rsid w:val="00C44C58"/>
    <w:rsid w:val="00C468FB"/>
    <w:rsid w:val="00C553D7"/>
    <w:rsid w:val="00C56098"/>
    <w:rsid w:val="00C57ECB"/>
    <w:rsid w:val="00C57F6A"/>
    <w:rsid w:val="00C600C0"/>
    <w:rsid w:val="00C60DC0"/>
    <w:rsid w:val="00C67209"/>
    <w:rsid w:val="00C91DA8"/>
    <w:rsid w:val="00CA153B"/>
    <w:rsid w:val="00CA2BEB"/>
    <w:rsid w:val="00CA6608"/>
    <w:rsid w:val="00CB564F"/>
    <w:rsid w:val="00CB56A9"/>
    <w:rsid w:val="00CC1922"/>
    <w:rsid w:val="00CC4AB8"/>
    <w:rsid w:val="00CC54B1"/>
    <w:rsid w:val="00CC57BE"/>
    <w:rsid w:val="00CD122B"/>
    <w:rsid w:val="00CD1DC6"/>
    <w:rsid w:val="00CE0155"/>
    <w:rsid w:val="00CE5A4C"/>
    <w:rsid w:val="00CE7A7F"/>
    <w:rsid w:val="00CF0F30"/>
    <w:rsid w:val="00CF1BB8"/>
    <w:rsid w:val="00D00977"/>
    <w:rsid w:val="00D028C4"/>
    <w:rsid w:val="00D03962"/>
    <w:rsid w:val="00D063F0"/>
    <w:rsid w:val="00D0723D"/>
    <w:rsid w:val="00D124F8"/>
    <w:rsid w:val="00D15357"/>
    <w:rsid w:val="00D15C69"/>
    <w:rsid w:val="00D1734E"/>
    <w:rsid w:val="00D176AE"/>
    <w:rsid w:val="00D26C34"/>
    <w:rsid w:val="00D32E4B"/>
    <w:rsid w:val="00D35F83"/>
    <w:rsid w:val="00D44812"/>
    <w:rsid w:val="00D5053F"/>
    <w:rsid w:val="00D50AD2"/>
    <w:rsid w:val="00D64F6D"/>
    <w:rsid w:val="00D6646E"/>
    <w:rsid w:val="00D6660B"/>
    <w:rsid w:val="00D6670F"/>
    <w:rsid w:val="00D66A79"/>
    <w:rsid w:val="00D7291C"/>
    <w:rsid w:val="00D729A0"/>
    <w:rsid w:val="00D75305"/>
    <w:rsid w:val="00D7634A"/>
    <w:rsid w:val="00D77216"/>
    <w:rsid w:val="00D77A56"/>
    <w:rsid w:val="00D80EB3"/>
    <w:rsid w:val="00D8204F"/>
    <w:rsid w:val="00D83744"/>
    <w:rsid w:val="00D83DF0"/>
    <w:rsid w:val="00D83FAB"/>
    <w:rsid w:val="00D850A4"/>
    <w:rsid w:val="00D85A37"/>
    <w:rsid w:val="00D95E03"/>
    <w:rsid w:val="00DA2925"/>
    <w:rsid w:val="00DA388C"/>
    <w:rsid w:val="00DA393A"/>
    <w:rsid w:val="00DA4DF6"/>
    <w:rsid w:val="00DA5263"/>
    <w:rsid w:val="00DB201D"/>
    <w:rsid w:val="00DB3FC8"/>
    <w:rsid w:val="00DB69AC"/>
    <w:rsid w:val="00DC0D2B"/>
    <w:rsid w:val="00DC2220"/>
    <w:rsid w:val="00DC74D6"/>
    <w:rsid w:val="00DD3A3E"/>
    <w:rsid w:val="00DD5245"/>
    <w:rsid w:val="00DD5B0B"/>
    <w:rsid w:val="00DD633B"/>
    <w:rsid w:val="00DE3F2C"/>
    <w:rsid w:val="00DE4544"/>
    <w:rsid w:val="00DE52BD"/>
    <w:rsid w:val="00DF04CE"/>
    <w:rsid w:val="00DF1BC1"/>
    <w:rsid w:val="00DF4657"/>
    <w:rsid w:val="00E041EC"/>
    <w:rsid w:val="00E05BBE"/>
    <w:rsid w:val="00E10163"/>
    <w:rsid w:val="00E10B75"/>
    <w:rsid w:val="00E10F5F"/>
    <w:rsid w:val="00E14E12"/>
    <w:rsid w:val="00E163B7"/>
    <w:rsid w:val="00E210F8"/>
    <w:rsid w:val="00E21BBA"/>
    <w:rsid w:val="00E23581"/>
    <w:rsid w:val="00E30B35"/>
    <w:rsid w:val="00E359D7"/>
    <w:rsid w:val="00E40601"/>
    <w:rsid w:val="00E40E73"/>
    <w:rsid w:val="00E508EA"/>
    <w:rsid w:val="00E50A0D"/>
    <w:rsid w:val="00E66E76"/>
    <w:rsid w:val="00E672C5"/>
    <w:rsid w:val="00E70518"/>
    <w:rsid w:val="00E72AD7"/>
    <w:rsid w:val="00E7556E"/>
    <w:rsid w:val="00E82185"/>
    <w:rsid w:val="00E9263D"/>
    <w:rsid w:val="00E92D9E"/>
    <w:rsid w:val="00E96B15"/>
    <w:rsid w:val="00EB0858"/>
    <w:rsid w:val="00EB2646"/>
    <w:rsid w:val="00EB58B4"/>
    <w:rsid w:val="00EC06D7"/>
    <w:rsid w:val="00ED09CB"/>
    <w:rsid w:val="00ED142B"/>
    <w:rsid w:val="00ED7F56"/>
    <w:rsid w:val="00EE05B1"/>
    <w:rsid w:val="00EE1ABB"/>
    <w:rsid w:val="00EE4BFF"/>
    <w:rsid w:val="00EF1D15"/>
    <w:rsid w:val="00EF543B"/>
    <w:rsid w:val="00F03E8C"/>
    <w:rsid w:val="00F12581"/>
    <w:rsid w:val="00F30D84"/>
    <w:rsid w:val="00F31623"/>
    <w:rsid w:val="00F33053"/>
    <w:rsid w:val="00F443F5"/>
    <w:rsid w:val="00F52817"/>
    <w:rsid w:val="00F54699"/>
    <w:rsid w:val="00F54837"/>
    <w:rsid w:val="00F61701"/>
    <w:rsid w:val="00F66908"/>
    <w:rsid w:val="00F71F49"/>
    <w:rsid w:val="00F74706"/>
    <w:rsid w:val="00F823F8"/>
    <w:rsid w:val="00F8778F"/>
    <w:rsid w:val="00F87D96"/>
    <w:rsid w:val="00F90E1C"/>
    <w:rsid w:val="00F9176B"/>
    <w:rsid w:val="00F92552"/>
    <w:rsid w:val="00F936B0"/>
    <w:rsid w:val="00F94718"/>
    <w:rsid w:val="00FA63E5"/>
    <w:rsid w:val="00FA6499"/>
    <w:rsid w:val="00FB00F2"/>
    <w:rsid w:val="00FB19E0"/>
    <w:rsid w:val="00FB5651"/>
    <w:rsid w:val="00FB665A"/>
    <w:rsid w:val="00FC0383"/>
    <w:rsid w:val="00FC1FBF"/>
    <w:rsid w:val="00FC3DEE"/>
    <w:rsid w:val="00FD0069"/>
    <w:rsid w:val="00FD7CBF"/>
    <w:rsid w:val="00FE454B"/>
    <w:rsid w:val="00FE5048"/>
    <w:rsid w:val="00FF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FD0069"/>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B85494"/>
    <w:pPr>
      <w:bidi/>
      <w:spacing w:line="22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FD0069"/>
    <w:rPr>
      <w:rFonts w:ascii="Sakkal Majalla" w:eastAsiaTheme="minorEastAsia" w:hAnsi="Sakkal Majalla" w:cs="Sakkal Majalla"/>
      <w:b/>
      <w:bCs/>
      <w:sz w:val="24"/>
      <w:szCs w:val="24"/>
    </w:rPr>
  </w:style>
  <w:style w:type="paragraph" w:customStyle="1" w:styleId="a0">
    <w:name w:val="فقرات"/>
    <w:basedOn w:val="Standard"/>
    <w:link w:val="Char0"/>
    <w:qFormat/>
    <w:rsid w:val="00DA4DF6"/>
    <w:pPr>
      <w:bidi/>
      <w:spacing w:before="100" w:beforeAutospacing="1" w:after="100" w:afterAutospacing="1"/>
      <w:jc w:val="both"/>
    </w:pPr>
    <w:rPr>
      <w:rFonts w:cs="Sakkal Majalla"/>
      <w:sz w:val="22"/>
      <w:szCs w:val="22"/>
    </w:rPr>
  </w:style>
  <w:style w:type="character" w:customStyle="1" w:styleId="Char">
    <w:name w:val="العنوان Char"/>
    <w:basedOn w:val="titltelsChar"/>
    <w:link w:val="a"/>
    <w:rsid w:val="00B85494"/>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DA4DF6"/>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rsid w:val="008341CD"/>
    <w:pPr>
      <w:numPr>
        <w:numId w:val="14"/>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D80EB3"/>
    <w:pPr>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D80EB3"/>
    <w:rPr>
      <w:rFonts w:ascii="Sakkal Majalla" w:eastAsiaTheme="minorEastAsia" w:hAnsi="Sakkal Majalla" w:cs="Sakkal Majalla"/>
      <w:sz w:val="24"/>
      <w:szCs w:val="24"/>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418BA"/>
    <w:rPr>
      <w:rFonts w:ascii="Sakkal Majalla" w:eastAsiaTheme="minorEastAsia" w:hAnsi="Sakkal Majalla" w:cs="Times New Roman"/>
      <w:sz w:val="20"/>
      <w:szCs w:val="20"/>
    </w:rPr>
  </w:style>
  <w:style w:type="character" w:styleId="Funotenzeichen">
    <w:name w:val="footnote reference"/>
    <w:basedOn w:val="Absatz-Standardschriftart"/>
    <w:uiPriority w:val="99"/>
    <w:semiHidden/>
    <w:unhideWhenUsed/>
    <w:rsid w:val="005418BA"/>
    <w:rPr>
      <w:vertAlign w:val="superscript"/>
    </w:rPr>
  </w:style>
  <w:style w:type="character" w:customStyle="1" w:styleId="berschrift2Zchn">
    <w:name w:val="Überschrift 2 Zchn"/>
    <w:basedOn w:val="Absatz-Standardschriftart"/>
    <w:link w:val="berschrift2"/>
    <w:uiPriority w:val="9"/>
    <w:semiHidden/>
    <w:rsid w:val="00543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515119102">
      <w:bodyDiv w:val="1"/>
      <w:marLeft w:val="0"/>
      <w:marRight w:val="0"/>
      <w:marTop w:val="0"/>
      <w:marBottom w:val="0"/>
      <w:divBdr>
        <w:top w:val="none" w:sz="0" w:space="0" w:color="auto"/>
        <w:left w:val="none" w:sz="0" w:space="0" w:color="auto"/>
        <w:bottom w:val="none" w:sz="0" w:space="0" w:color="auto"/>
        <w:right w:val="none" w:sz="0" w:space="0" w:color="auto"/>
      </w:divBdr>
    </w:div>
    <w:div w:id="521743722">
      <w:bodyDiv w:val="1"/>
      <w:marLeft w:val="0"/>
      <w:marRight w:val="0"/>
      <w:marTop w:val="0"/>
      <w:marBottom w:val="0"/>
      <w:divBdr>
        <w:top w:val="none" w:sz="0" w:space="0" w:color="auto"/>
        <w:left w:val="none" w:sz="0" w:space="0" w:color="auto"/>
        <w:bottom w:val="none" w:sz="0" w:space="0" w:color="auto"/>
        <w:right w:val="none" w:sz="0" w:space="0" w:color="auto"/>
      </w:divBdr>
    </w:div>
    <w:div w:id="662010981">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386872983">
      <w:bodyDiv w:val="1"/>
      <w:marLeft w:val="0"/>
      <w:marRight w:val="0"/>
      <w:marTop w:val="0"/>
      <w:marBottom w:val="0"/>
      <w:divBdr>
        <w:top w:val="none" w:sz="0" w:space="0" w:color="auto"/>
        <w:left w:val="none" w:sz="0" w:space="0" w:color="auto"/>
        <w:bottom w:val="none" w:sz="0" w:space="0" w:color="auto"/>
        <w:right w:val="none" w:sz="0" w:space="0" w:color="auto"/>
      </w:divBdr>
    </w:div>
    <w:div w:id="1596817214">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file:///C:\Users\User\Desktop\EDB\images\watermark.p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3.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538C2D-BDB2-4B59-8C9D-4BEE7A32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1375</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43</cp:revision>
  <dcterms:created xsi:type="dcterms:W3CDTF">2022-12-06T07:29:00Z</dcterms:created>
  <dcterms:modified xsi:type="dcterms:W3CDTF">2023-11-13T12:05:00Z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2023-11-13T11:55:43Z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944eb489-81fb-43e8-ac14-8386ca2cdc3b</vt:lpwstr>
  </property>
  <property fmtid="{D5CDD505-2E9C-101B-9397-08002B2CF9AE}" pid="9" name="MSIP_Label_713de251-44b3-4bb3-a19d-4c877c7e086f_ContentBits">
    <vt:lpwstr>0</vt:lpwstr>
  </property>
</Properties>
</file>