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D9622B"/>
          <w:sz w:val="34"/>
          <w:szCs w:val="34"/>
        </w:rPr>
        <w:t xml:space="preserve">STRATEGIC PLANNING AND DATA EXPLORATION IN LOGISTICS</w:t>
      </w:r>
    </w:p>
    <w:p>
      <w:pPr>
        <w:spacing w:after="300"/>
        <w:jc w:val="center"/>
      </w:pPr>
      <w:r>
        <w:rPr>
          <w:i/>
          <w:iCs/>
          <w:color w:val="6B7280"/>
          <w:sz w:val="22"/>
          <w:szCs w:val="22"/>
        </w:rPr>
        <w:t xml:space="preserve">Week 1 Task Report</w:t>
      </w:r>
    </w:p>
    <w:p>
      <w:pPr>
        <w:pStyle w:val="Heading1"/>
        <w:pBdr>
          <w:bottom w:val="single" w:color="D9622B" w:sz="8" w:space="4"/>
        </w:pBdr>
        <w:spacing w:after="160" w:before="320"/>
      </w:pPr>
      <w:r>
        <w:rPr>
          <w:b/>
          <w:bCs/>
          <w:color w:val="1F2937"/>
          <w:sz w:val="30"/>
          <w:szCs w:val="30"/>
        </w:rPr>
        <w:t xml:space="preserve">1. Objective</w:t>
      </w:r>
    </w:p>
    <w:p>
      <w:pPr>
        <w:spacing w:after="160" w:line="300"/>
      </w:pPr>
      <w:r>
        <w:rPr>
          <w:color w:val="1F2937"/>
          <w:sz w:val="22"/>
          <w:szCs w:val="22"/>
        </w:rPr>
        <w:t xml:space="preserve">This report simulates the planning and strategy phase of a logistics data analysis project. It defines a realistic logistics scenario, identifies key performance indicators (KPIs), and outlines a strategic roadmap for applying Python-based data science techniques to address common logistics challenges. The goal is to demonstrate how an analytical approach can improve supply chain efficiency and resource allocation before any modeling work begins.</w:t>
      </w:r>
    </w:p>
    <w:p>
      <w:pPr>
        <w:pStyle w:val="Heading1"/>
        <w:pBdr>
          <w:bottom w:val="single" w:color="D9622B" w:sz="8" w:space="4"/>
        </w:pBdr>
        <w:spacing w:after="160" w:before="320"/>
      </w:pPr>
      <w:r>
        <w:rPr>
          <w:b/>
          <w:bCs/>
          <w:color w:val="1F2937"/>
          <w:sz w:val="30"/>
          <w:szCs w:val="30"/>
        </w:rPr>
        <w:t xml:space="preserve">2. Project Definition: The Logistics Scenario</w:t>
      </w:r>
    </w:p>
    <w:p>
      <w:pPr>
        <w:spacing w:after="160" w:line="300"/>
      </w:pPr>
      <w:r>
        <w:rPr>
          <w:color w:val="1F2937"/>
          <w:sz w:val="22"/>
          <w:szCs w:val="22"/>
        </w:rPr>
        <w:t xml:space="preserve">Company Background: "UrbanCart," a mid-sized e-commerce retailer operating three regional warehouses, is experiencing rising customer complaints about late deliveries and increasing costs from overstocked or understocked inventory. Orders are fulfilled from whichever warehouse is geographically closest, but routing and stock-replenishment decisions are currently made manually using spreadsheets and manager intuition rather than data.</w:t>
      </w:r>
    </w:p>
    <w:p>
      <w:pPr>
        <w:spacing w:after="160" w:line="300"/>
      </w:pPr>
      <w:r>
        <w:rPr>
          <w:color w:val="1F2937"/>
          <w:sz w:val="22"/>
          <w:szCs w:val="22"/>
        </w:rPr>
        <w:t xml:space="preserve">This scenario combines three classic logistics problem areas relevant to the task brief:</w:t>
      </w:r>
    </w:p>
    <w:p>
      <w:pPr>
        <w:pStyle w:val="ListParagraph"/>
        <w:numPr>
          <w:ilvl w:val="0"/>
          <w:numId w:val="2"/>
        </w:numPr>
        <w:spacing w:after="80"/>
      </w:pPr>
      <w:r>
        <w:rPr>
          <w:color w:val="1F2937"/>
          <w:sz w:val="22"/>
          <w:szCs w:val="22"/>
        </w:rPr>
        <w:t xml:space="preserve">Inventory management — warehouses frequently run out of fast-moving SKUs while slow-moving stock ties up capital.</w:t>
      </w:r>
    </w:p>
    <w:p>
      <w:pPr>
        <w:pStyle w:val="ListParagraph"/>
        <w:numPr>
          <w:ilvl w:val="0"/>
          <w:numId w:val="2"/>
        </w:numPr>
        <w:spacing w:after="80"/>
      </w:pPr>
      <w:r>
        <w:rPr>
          <w:color w:val="1F2937"/>
          <w:sz w:val="22"/>
          <w:szCs w:val="22"/>
        </w:rPr>
        <w:t xml:space="preserve">Route optimization — delivery drivers are assigned areas manually, leading to overlapping routes and wasted fuel/time.</w:t>
      </w:r>
    </w:p>
    <w:p>
      <w:pPr>
        <w:pStyle w:val="ListParagraph"/>
        <w:numPr>
          <w:ilvl w:val="0"/>
          <w:numId w:val="2"/>
        </w:numPr>
        <w:spacing w:after="80"/>
      </w:pPr>
      <w:r>
        <w:rPr>
          <w:color w:val="1F2937"/>
          <w:sz w:val="22"/>
          <w:szCs w:val="22"/>
        </w:rPr>
        <w:t xml:space="preserve">Supply chain integration — poor visibility between warehouses means excess stock in one location cannot easily cover a shortage in another.</w:t>
      </w:r>
    </w:p>
    <w:p>
      <w:pPr>
        <w:spacing w:after="160" w:line="300"/>
      </w:pPr>
      <w:r>
        <w:rPr>
          <w:color w:val="1F2937"/>
          <w:sz w:val="22"/>
          <w:szCs w:val="22"/>
        </w:rPr>
        <w:t xml:space="preserve">The strategic question this project will ultimately answer: How can UrbanCart use historical order, inventory, and delivery data to reduce late deliveries and cut logistics costs, without increasing warehouse headcount?</w:t>
      </w:r>
    </w:p>
    <w:p>
      <w:pPr>
        <w:pStyle w:val="Heading1"/>
        <w:pBdr>
          <w:bottom w:val="single" w:color="D9622B" w:sz="8" w:space="4"/>
        </w:pBdr>
        <w:spacing w:after="160" w:before="320"/>
      </w:pPr>
      <w:r>
        <w:rPr>
          <w:b/>
          <w:bCs/>
          <w:color w:val="1F2937"/>
          <w:sz w:val="30"/>
          <w:szCs w:val="30"/>
        </w:rPr>
        <w:t xml:space="preserve">3. Key Performance Indicators (KPIs)</w:t>
      </w:r>
    </w:p>
    <w:p>
      <w:pPr>
        <w:spacing w:after="160" w:line="300"/>
      </w:pPr>
      <w:r>
        <w:rPr>
          <w:color w:val="1F2937"/>
          <w:sz w:val="22"/>
          <w:szCs w:val="22"/>
        </w:rPr>
        <w:t xml:space="preserve">Three KPIs are identified as the primary measures of success for this analysis. Each ties directly back to the scenario above and will later be tracked using the data pipeline described in the roadmap.</w:t>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3300"/>
        <w:gridCol w:w="3300"/>
      </w:tblGrid>
      <w:tr>
        <w:trPr>
          <w:tblHeader/>
        </w:trPr>
        <w:tc>
          <w:tcPr>
            <w:tcW w:type="dxa" w:w="2900"/>
            <w:shd w:fill="D9622B" w:val="clear"/>
          </w:tcPr>
          <w:p>
            <w:r>
              <w:rPr>
                <w:b/>
                <w:bCs/>
                <w:color w:val="FFFFFF"/>
                <w:sz w:val="20"/>
                <w:szCs w:val="20"/>
              </w:rPr>
              <w:t xml:space="preserve">KPI</w:t>
            </w:r>
          </w:p>
        </w:tc>
        <w:tc>
          <w:tcPr>
            <w:tcW w:type="dxa" w:w="2900"/>
            <w:shd w:fill="D9622B" w:val="clear"/>
          </w:tcPr>
          <w:p>
            <w:r>
              <w:rPr>
                <w:b/>
                <w:bCs/>
                <w:color w:val="FFFFFF"/>
                <w:sz w:val="20"/>
                <w:szCs w:val="20"/>
              </w:rPr>
              <w:t xml:space="preserve">Definition</w:t>
            </w:r>
          </w:p>
        </w:tc>
        <w:tc>
          <w:tcPr>
            <w:tcW w:type="dxa" w:w="2900"/>
            <w:shd w:fill="D9622B" w:val="clear"/>
          </w:tcPr>
          <w:p>
            <w:r>
              <w:rPr>
                <w:b/>
                <w:bCs/>
                <w:color w:val="FFFFFF"/>
                <w:sz w:val="20"/>
                <w:szCs w:val="20"/>
              </w:rPr>
              <w:t xml:space="preserve">Why It Matters</w:t>
            </w:r>
          </w:p>
        </w:tc>
      </w:tr>
      <w:tr>
        <w:tc>
          <w:tcPr>
            <w:tcW w:type="dxa" w:w="2200"/>
            <w:shd w:fill="FFFFFF" w:val="clear"/>
          </w:tcPr>
          <w:p>
            <w:r>
              <w:rPr>
                <w:color w:val="1F2937"/>
                <w:sz w:val="20"/>
                <w:szCs w:val="20"/>
              </w:rPr>
              <w:t xml:space="preserve">On-Time Delivery Rate (OTDR)</w:t>
            </w:r>
          </w:p>
        </w:tc>
        <w:tc>
          <w:tcPr>
            <w:tcW w:type="dxa" w:w="3300"/>
            <w:shd w:fill="FFFFFF" w:val="clear"/>
          </w:tcPr>
          <w:p>
            <w:r>
              <w:rPr>
                <w:color w:val="1F2937"/>
                <w:sz w:val="20"/>
                <w:szCs w:val="20"/>
              </w:rPr>
              <w:t xml:space="preserve">% of orders delivered by the promised date/time</w:t>
            </w:r>
          </w:p>
        </w:tc>
        <w:tc>
          <w:tcPr>
            <w:tcW w:type="dxa" w:w="3300"/>
            <w:shd w:fill="FFFFFF" w:val="clear"/>
          </w:tcPr>
          <w:p>
            <w:r>
              <w:rPr>
                <w:color w:val="1F2937"/>
                <w:sz w:val="20"/>
                <w:szCs w:val="20"/>
              </w:rPr>
              <w:t xml:space="preserve">Directly reflects customer experience and is UrbanCart's most visible pain point</w:t>
            </w:r>
          </w:p>
        </w:tc>
      </w:tr>
      <w:tr>
        <w:tc>
          <w:tcPr>
            <w:tcW w:type="dxa" w:w="2200"/>
            <w:shd w:fill="FFFFFF" w:val="clear"/>
          </w:tcPr>
          <w:p>
            <w:r>
              <w:rPr>
                <w:color w:val="1F2937"/>
                <w:sz w:val="20"/>
                <w:szCs w:val="20"/>
              </w:rPr>
              <w:t xml:space="preserve">Inventory Turnover Ratio</w:t>
            </w:r>
          </w:p>
        </w:tc>
        <w:tc>
          <w:tcPr>
            <w:tcW w:type="dxa" w:w="3300"/>
            <w:shd w:fill="FFFFFF" w:val="clear"/>
          </w:tcPr>
          <w:p>
            <w:r>
              <w:rPr>
                <w:color w:val="1F2937"/>
                <w:sz w:val="20"/>
                <w:szCs w:val="20"/>
              </w:rPr>
              <w:t xml:space="preserve">Cost of goods sold ÷ average inventory value, per warehouse per month</w:t>
            </w:r>
          </w:p>
        </w:tc>
        <w:tc>
          <w:tcPr>
            <w:tcW w:type="dxa" w:w="3300"/>
            <w:shd w:fill="FFFFFF" w:val="clear"/>
          </w:tcPr>
          <w:p>
            <w:r>
              <w:rPr>
                <w:color w:val="1F2937"/>
                <w:sz w:val="20"/>
                <w:szCs w:val="20"/>
              </w:rPr>
              <w:t xml:space="preserve">Flags overstocking (capital tied up) and understocking (stockout risk) by location</w:t>
            </w:r>
          </w:p>
        </w:tc>
      </w:tr>
      <w:tr>
        <w:tc>
          <w:tcPr>
            <w:tcW w:type="dxa" w:w="2200"/>
            <w:shd w:fill="FFFFFF" w:val="clear"/>
          </w:tcPr>
          <w:p>
            <w:r>
              <w:rPr>
                <w:color w:val="1F2937"/>
                <w:sz w:val="20"/>
                <w:szCs w:val="20"/>
              </w:rPr>
              <w:t xml:space="preserve">Cost per Delivery (CPD)</w:t>
            </w:r>
          </w:p>
        </w:tc>
        <w:tc>
          <w:tcPr>
            <w:tcW w:type="dxa" w:w="3300"/>
            <w:shd w:fill="FFFFFF" w:val="clear"/>
          </w:tcPr>
          <w:p>
            <w:r>
              <w:rPr>
                <w:color w:val="1F2937"/>
                <w:sz w:val="20"/>
                <w:szCs w:val="20"/>
              </w:rPr>
              <w:t xml:space="preserve">Total last-mile delivery cost ÷ number of deliveries, per route</w:t>
            </w:r>
          </w:p>
        </w:tc>
        <w:tc>
          <w:tcPr>
            <w:tcW w:type="dxa" w:w="3300"/>
            <w:shd w:fill="FFFFFF" w:val="clear"/>
          </w:tcPr>
          <w:p>
            <w:r>
              <w:rPr>
                <w:color w:val="1F2937"/>
                <w:sz w:val="20"/>
                <w:szCs w:val="20"/>
              </w:rPr>
              <w:t xml:space="preserve">Measures routing efficiency; the KPI most sensitive to optimization work</w:t>
            </w:r>
          </w:p>
        </w:tc>
      </w:tr>
    </w:tbl>
    <w:p>
      <w:pPr>
        <w:spacing w:after="160" w:line="300"/>
      </w:pPr>
      <w:r>
        <w:rPr>
          <w:i/>
          <w:iCs/>
          <w:color w:val="1F2937"/>
          <w:sz w:val="22"/>
          <w:szCs w:val="22"/>
        </w:rPr>
        <w:t xml:space="preserve">A fourth, secondary KPI — Stockout Frequency (number of SKU stockout events per warehouse per month) — will be monitored as a supporting diagnostic for Inventory Turnover.</w:t>
      </w:r>
    </w:p>
    <w:p>
      <w:pPr>
        <w:pStyle w:val="Heading1"/>
        <w:pBdr>
          <w:bottom w:val="single" w:color="D9622B" w:sz="8" w:space="4"/>
        </w:pBdr>
        <w:spacing w:after="160" w:before="320"/>
      </w:pPr>
      <w:r>
        <w:rPr>
          <w:b/>
          <w:bCs/>
          <w:color w:val="1F2937"/>
          <w:sz w:val="30"/>
          <w:szCs w:val="30"/>
        </w:rPr>
        <w:t xml:space="preserve">4. Literature and Data Research</w:t>
      </w:r>
    </w:p>
    <w:p>
      <w:pPr>
        <w:spacing w:after="160" w:line="300"/>
      </w:pPr>
      <w:r>
        <w:rPr>
          <w:color w:val="1F2937"/>
          <w:sz w:val="22"/>
          <w:szCs w:val="22"/>
        </w:rPr>
        <w:t xml:space="preserve">Before modeling, the project draws on publicly available research and datasets to validate that the scenario is realistic and that similar problems have established analytical solutions:</w:t>
      </w:r>
    </w:p>
    <w:p>
      <w:pPr>
        <w:pStyle w:val="ListParagraph"/>
        <w:numPr>
          <w:ilvl w:val="0"/>
          <w:numId w:val="2"/>
        </w:numPr>
        <w:spacing w:after="80"/>
      </w:pPr>
      <w:r>
        <w:rPr>
          <w:color w:val="1F2937"/>
          <w:sz w:val="22"/>
          <w:szCs w:val="22"/>
        </w:rPr>
        <w:t xml:space="preserve">Inventory theory: the Economic Order Quantity (EOQ) model and (s, S) reorder-point policies are well-documented approaches for balancing holding costs against stockout risk, and provide a benchmark against which a data-driven reorder policy can be compared.</w:t>
      </w:r>
    </w:p>
    <w:p>
      <w:pPr>
        <w:pStyle w:val="ListParagraph"/>
        <w:numPr>
          <w:ilvl w:val="0"/>
          <w:numId w:val="2"/>
        </w:numPr>
        <w:spacing w:after="80"/>
      </w:pPr>
      <w:r>
        <w:rPr>
          <w:color w:val="1F2937"/>
          <w:sz w:val="22"/>
          <w:szCs w:val="22"/>
        </w:rPr>
        <w:t xml:space="preserve">Routing theory: the Vehicle Routing Problem (VRP) and its variants (Capacitated VRP, VRP with Time Windows) are the standard formulation for last-mile delivery optimization and are directly applicable to UrbanCart's routing inefficiency.</w:t>
      </w:r>
    </w:p>
    <w:p>
      <w:pPr>
        <w:pStyle w:val="ListParagraph"/>
        <w:numPr>
          <w:ilvl w:val="0"/>
          <w:numId w:val="2"/>
        </w:numPr>
        <w:spacing w:after="80"/>
      </w:pPr>
      <w:r>
        <w:rPr>
          <w:color w:val="1F2937"/>
          <w:sz w:val="22"/>
          <w:szCs w:val="22"/>
        </w:rPr>
        <w:t xml:space="preserve">Public datasets for prototyping: the Kaggle "Online Retail" and "DataCo Smart Supply Chain" datasets, along with NYC TLC trip-record data (as a proxy for delivery-time variability), offer realistic, freely available data to prototype the pipeline described below before UrbanCart's real data is available.</w:t>
      </w:r>
    </w:p>
    <w:p>
      <w:pPr>
        <w:spacing w:after="160" w:line="300"/>
      </w:pPr>
      <w:r>
        <w:rPr>
          <w:color w:val="1F2937"/>
          <w:sz w:val="22"/>
          <w:szCs w:val="22"/>
        </w:rPr>
        <w:t xml:space="preserve">These sources confirm that regression, clustering, and optimization methods (Section 5) are the standard, proven toolkit for this class of logistics problem.</w:t>
      </w:r>
    </w:p>
    <w:p>
      <w:pPr>
        <w:pStyle w:val="Heading1"/>
        <w:pBdr>
          <w:bottom w:val="single" w:color="D9622B" w:sz="8" w:space="4"/>
        </w:pBdr>
        <w:spacing w:after="160" w:before="320"/>
      </w:pPr>
      <w:r>
        <w:rPr>
          <w:b/>
          <w:bCs/>
          <w:color w:val="1F2937"/>
          <w:sz w:val="30"/>
          <w:szCs w:val="30"/>
        </w:rPr>
        <w:t xml:space="preserve">5. Applying Data Science Concepts</w:t>
      </w:r>
    </w:p>
    <w:p>
      <w:pPr>
        <w:spacing w:after="160" w:line="300"/>
      </w:pPr>
      <w:r>
        <w:rPr>
          <w:color w:val="1F2937"/>
          <w:sz w:val="22"/>
          <w:szCs w:val="22"/>
        </w:rPr>
        <w:t xml:space="preserve">Three core techniques are proposed, each mapped to a specific business question:</w:t>
      </w:r>
    </w:p>
    <w:p>
      <w:pPr>
        <w:pStyle w:val="Heading2"/>
        <w:spacing w:after="120" w:before="240"/>
      </w:pPr>
      <w:r>
        <w:rPr>
          <w:b/>
          <w:bCs/>
          <w:color w:val="D9622B"/>
          <w:sz w:val="24"/>
          <w:szCs w:val="24"/>
        </w:rPr>
        <w:t xml:space="preserve">5.1 Regression — Demand Forecasting</w:t>
      </w:r>
    </w:p>
    <w:p>
      <w:pPr>
        <w:spacing w:after="160" w:line="300"/>
      </w:pPr>
      <w:r>
        <w:rPr>
          <w:color w:val="1F2937"/>
          <w:sz w:val="22"/>
          <w:szCs w:val="22"/>
        </w:rPr>
        <w:t xml:space="preserve">A regression model (e.g., linear regression or gradient-boosted trees) predicts next week's order volume per SKU per warehouse from historical sales, seasonality, and promotions. This directly informs the Inventory Turnover KPI by setting smarter reorder quantities.</w:t>
      </w:r>
    </w:p>
    <w:p>
      <w:pPr>
        <w:pStyle w:val="Heading2"/>
        <w:spacing w:after="120" w:before="240"/>
      </w:pPr>
      <w:r>
        <w:rPr>
          <w:b/>
          <w:bCs/>
          <w:color w:val="D9622B"/>
          <w:sz w:val="24"/>
          <w:szCs w:val="24"/>
        </w:rPr>
        <w:t xml:space="preserve">5.2 Clustering — Delivery Zone Grouping</w:t>
      </w:r>
    </w:p>
    <w:p>
      <w:pPr>
        <w:spacing w:after="160" w:line="300"/>
      </w:pPr>
      <w:r>
        <w:rPr>
          <w:color w:val="1F2937"/>
          <w:sz w:val="22"/>
          <w:szCs w:val="22"/>
        </w:rPr>
        <w:t xml:space="preserve">Unsupervised clustering (e.g., K-Means on delivery GPS coordinates) groups customer addresses into compact delivery zones. This replaces manual area assignment and is the direct input to route optimization, targeting the Cost per Delivery KPI.</w:t>
      </w:r>
    </w:p>
    <w:p>
      <w:pPr>
        <w:pStyle w:val="Heading2"/>
        <w:spacing w:after="120" w:before="240"/>
      </w:pPr>
      <w:r>
        <w:rPr>
          <w:b/>
          <w:bCs/>
          <w:color w:val="D9622B"/>
          <w:sz w:val="24"/>
          <w:szCs w:val="24"/>
        </w:rPr>
        <w:t xml:space="preserve">5.3 Optimization — Route Planning</w:t>
      </w:r>
    </w:p>
    <w:p>
      <w:pPr>
        <w:spacing w:after="160" w:line="300"/>
      </w:pPr>
      <w:r>
        <w:rPr>
          <w:color w:val="1F2937"/>
          <w:sz w:val="22"/>
          <w:szCs w:val="22"/>
        </w:rPr>
        <w:t xml:space="preserve">Once zones are defined, a route-optimization algorithm (e.g., a VRP solver such as Google OR-Tools) sequences stops within each zone to minimize total distance/time, which improves both On-Time Delivery Rate and Cost per Delivery simultaneously.</w:t>
      </w:r>
    </w:p>
    <w:p>
      <w:pPr>
        <w:pStyle w:val="Heading1"/>
        <w:pBdr>
          <w:bottom w:val="single" w:color="D9622B" w:sz="8" w:space="4"/>
        </w:pBdr>
        <w:spacing w:after="160" w:before="320"/>
      </w:pPr>
      <w:r>
        <w:rPr>
          <w:b/>
          <w:bCs/>
          <w:color w:val="1F2937"/>
          <w:sz w:val="30"/>
          <w:szCs w:val="30"/>
        </w:rPr>
        <w:t xml:space="preserve">6. Strategic Roadmap: End-to-End Process Flow</w:t>
      </w:r>
    </w:p>
    <w:p>
      <w:pPr>
        <w:spacing w:after="160" w:line="300"/>
      </w:pPr>
      <w:r>
        <w:rPr>
          <w:color w:val="1F2937"/>
          <w:sz w:val="22"/>
          <w:szCs w:val="22"/>
        </w:rPr>
        <w:t xml:space="preserve">The analysis will proceed through five sequential stages:</w:t>
      </w:r>
    </w:p>
    <w:p>
      <w:pPr>
        <w:pStyle w:val="ListParagraph"/>
        <w:numPr>
          <w:ilvl w:val="0"/>
          <w:numId w:val="2"/>
        </w:numPr>
        <w:spacing w:after="80"/>
      </w:pPr>
      <w:r>
        <w:rPr>
          <w:color w:val="1F2937"/>
          <w:sz w:val="22"/>
          <w:szCs w:val="22"/>
        </w:rPr>
        <w:t xml:space="preserve">Data Collection — pull historical order, inventory, and delivery-tracking data from warehouse management and delivery-partner systems (or public proxy datasets during prototyping).</w:t>
      </w:r>
    </w:p>
    <w:p>
      <w:pPr>
        <w:pStyle w:val="ListParagraph"/>
        <w:numPr>
          <w:ilvl w:val="0"/>
          <w:numId w:val="2"/>
        </w:numPr>
        <w:spacing w:after="80"/>
      </w:pPr>
      <w:r>
        <w:rPr>
          <w:color w:val="1F2937"/>
          <w:sz w:val="22"/>
          <w:szCs w:val="22"/>
        </w:rPr>
        <w:t xml:space="preserve">Data Cleaning — handle missing timestamps, standardize address formats, remove duplicate order records, and reconcile SKU naming across the three warehouses.</w:t>
      </w:r>
    </w:p>
    <w:p>
      <w:pPr>
        <w:pStyle w:val="ListParagraph"/>
        <w:numPr>
          <w:ilvl w:val="0"/>
          <w:numId w:val="2"/>
        </w:numPr>
        <w:spacing w:after="80"/>
      </w:pPr>
      <w:r>
        <w:rPr>
          <w:color w:val="1F2937"/>
          <w:sz w:val="22"/>
          <w:szCs w:val="22"/>
        </w:rPr>
        <w:t xml:space="preserve">Exploratory Data Analysis (EDA) — visualize late-delivery patterns by region/time, inventory levels by SKU/warehouse, and identify obvious correlations (e.g., distance vs. delay).</w:t>
      </w:r>
    </w:p>
    <w:p>
      <w:pPr>
        <w:pStyle w:val="ListParagraph"/>
        <w:numPr>
          <w:ilvl w:val="0"/>
          <w:numId w:val="2"/>
        </w:numPr>
        <w:spacing w:after="80"/>
      </w:pPr>
      <w:r>
        <w:rPr>
          <w:color w:val="1F2937"/>
          <w:sz w:val="22"/>
          <w:szCs w:val="22"/>
        </w:rPr>
        <w:t xml:space="preserve">Predictive Modeling — build the regression (demand) and clustering (zoning) models described in Section 5.</w:t>
      </w:r>
    </w:p>
    <w:p>
      <w:pPr>
        <w:pStyle w:val="ListParagraph"/>
        <w:numPr>
          <w:ilvl w:val="0"/>
          <w:numId w:val="2"/>
        </w:numPr>
        <w:spacing w:after="80"/>
      </w:pPr>
      <w:r>
        <w:rPr>
          <w:color w:val="1F2937"/>
          <w:sz w:val="22"/>
          <w:szCs w:val="22"/>
        </w:rPr>
        <w:t xml:space="preserve">Optimization &amp; Decision Support — feed model outputs into the routing optimizer and translate results into a reorder-policy and route-assignment dashboard for warehouse managers.</w:t>
      </w:r>
    </w:p>
    <w:p>
      <w:pPr>
        <w:pStyle w:val="Heading1"/>
        <w:pBdr>
          <w:bottom w:val="single" w:color="D9622B" w:sz="8" w:space="4"/>
        </w:pBdr>
        <w:spacing w:after="160" w:before="320"/>
      </w:pPr>
      <w:r>
        <w:rPr>
          <w:b/>
          <w:bCs/>
          <w:color w:val="1F2937"/>
          <w:sz w:val="30"/>
          <w:szCs w:val="30"/>
        </w:rPr>
        <w:t xml:space="preserve">7. Code Illustration (Python Pseudocode)</w:t>
      </w:r>
    </w:p>
    <w:p>
      <w:pPr>
        <w:spacing w:after="160" w:line="300"/>
      </w:pPr>
      <w:r>
        <w:rPr>
          <w:color w:val="1F2937"/>
          <w:sz w:val="22"/>
          <w:szCs w:val="22"/>
        </w:rPr>
        <w:t xml:space="preserve">The following illustrative snippets show how each roadmap stage would be implemented. These are simplified pseudocode, not production code, intended to demonstrate the proposed approach.</w:t>
      </w:r>
    </w:p>
    <w:p>
      <w:pPr>
        <w:pStyle w:val="Heading2"/>
        <w:spacing w:after="120" w:before="240"/>
      </w:pPr>
      <w:r>
        <w:rPr>
          <w:b/>
          <w:bCs/>
          <w:color w:val="D9622B"/>
          <w:sz w:val="24"/>
          <w:szCs w:val="24"/>
        </w:rPr>
        <w:t xml:space="preserve">7.1 Data Cleaning</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import pandas as pd</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orders = pd.read_csv('orders.csv', parse_dates=['order_date', 'delivery_date'])</w:t>
      </w:r>
      <w:r>
        <w:rPr>
          <w:rFonts w:ascii="Consolas" w:cs="Consolas" w:eastAsia="Consolas" w:hAnsi="Consolas"/>
          <w:color w:val="111827"/>
          <w:sz w:val="19"/>
          <w:szCs w:val="19"/>
        </w:rPr>
        <w:br/>
        <w:t xml:space="preserve">orders = orders.drop_duplicates(subset='order_id')</w:t>
      </w:r>
      <w:r>
        <w:rPr>
          <w:rFonts w:ascii="Consolas" w:cs="Consolas" w:eastAsia="Consolas" w:hAnsi="Consolas"/>
          <w:color w:val="111827"/>
          <w:sz w:val="19"/>
          <w:szCs w:val="19"/>
        </w:rPr>
        <w:br/>
        <w:t xml:space="preserve">orders['sku'] = orders['sku'].str.upper().str.strip()</w:t>
      </w:r>
      <w:r>
        <w:rPr>
          <w:rFonts w:ascii="Consolas" w:cs="Consolas" w:eastAsia="Consolas" w:hAnsi="Consolas"/>
          <w:color w:val="111827"/>
          <w:sz w:val="19"/>
          <w:szCs w:val="19"/>
        </w:rPr>
        <w:br/>
        <w:t xml:space="preserve">orders = orders.dropna(subset=['delivery_date'])</w:t>
      </w:r>
      <w:r>
        <w:rPr>
          <w:rFonts w:ascii="Consolas" w:cs="Consolas" w:eastAsia="Consolas" w:hAnsi="Consolas"/>
          <w:color w:val="111827"/>
          <w:sz w:val="19"/>
          <w:szCs w:val="19"/>
        </w:rPr>
        <w:br/>
        <w:t xml:space="preserve">orders['delay_days'] = (orders['delivery_date'] - orders['promised_date']).dt.days</w:t>
      </w:r>
    </w:p>
    <w:p>
      <w:pPr>
        <w:pStyle w:val="Heading2"/>
        <w:spacing w:after="120" w:before="240"/>
      </w:pPr>
      <w:r>
        <w:rPr>
          <w:b/>
          <w:bCs/>
          <w:color w:val="D9622B"/>
          <w:sz w:val="24"/>
          <w:szCs w:val="24"/>
        </w:rPr>
        <w:t xml:space="preserve">7.2 Demand Forecasting (Regression)</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sklearn.linear_model import LinearRegression</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features = weekly_sales[['week_of_year', 'promo_flag', 'lag_1wk_sales']]</w:t>
      </w:r>
      <w:r>
        <w:rPr>
          <w:rFonts w:ascii="Consolas" w:cs="Consolas" w:eastAsia="Consolas" w:hAnsi="Consolas"/>
          <w:color w:val="111827"/>
          <w:sz w:val="19"/>
          <w:szCs w:val="19"/>
        </w:rPr>
        <w:br/>
        <w:t xml:space="preserve">target = weekly_sales['units_sold']</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model = LinearRegression().fit(features, target)</w:t>
      </w:r>
      <w:r>
        <w:rPr>
          <w:rFonts w:ascii="Consolas" w:cs="Consolas" w:eastAsia="Consolas" w:hAnsi="Consolas"/>
          <w:color w:val="111827"/>
          <w:sz w:val="19"/>
          <w:szCs w:val="19"/>
        </w:rPr>
        <w:br/>
        <w:t xml:space="preserve">next_week_forecast = model.predict(next_week_features)</w:t>
      </w:r>
    </w:p>
    <w:p>
      <w:pPr>
        <w:pStyle w:val="Heading2"/>
        <w:spacing w:after="120" w:before="240"/>
      </w:pPr>
      <w:r>
        <w:rPr>
          <w:b/>
          <w:bCs/>
          <w:color w:val="D9622B"/>
          <w:sz w:val="24"/>
          <w:szCs w:val="24"/>
        </w:rPr>
        <w:t xml:space="preserve">7.3 Delivery Zone Clustering</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from sklearn.cluster import KMeans</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coords = customers[['latitude', 'longitude']]</w:t>
      </w:r>
      <w:r>
        <w:rPr>
          <w:rFonts w:ascii="Consolas" w:cs="Consolas" w:eastAsia="Consolas" w:hAnsi="Consolas"/>
          <w:color w:val="111827"/>
          <w:sz w:val="19"/>
          <w:szCs w:val="19"/>
        </w:rPr>
        <w:br/>
        <w:t xml:space="preserve">kmeans = KMeans(n_clusters=8, random_state=42).fit(coords)</w:t>
      </w:r>
      <w:r>
        <w:rPr>
          <w:rFonts w:ascii="Consolas" w:cs="Consolas" w:eastAsia="Consolas" w:hAnsi="Consolas"/>
          <w:color w:val="111827"/>
          <w:sz w:val="19"/>
          <w:szCs w:val="19"/>
        </w:rPr>
        <w:br/>
        <w:t xml:space="preserve">customers['zone'] = kmeans.labels_</w:t>
      </w:r>
    </w:p>
    <w:p>
      <w:pPr>
        <w:pStyle w:val="Heading2"/>
        <w:spacing w:after="120" w:before="240"/>
      </w:pPr>
      <w:r>
        <w:rPr>
          <w:b/>
          <w:bCs/>
          <w:color w:val="D9622B"/>
          <w:sz w:val="24"/>
          <w:szCs w:val="24"/>
        </w:rPr>
        <w:t xml:space="preserve">7.4 Route Optimization (Conceptual)</w:t>
      </w:r>
    </w:p>
    <w:p>
      <w:pPr>
        <w:pBdr>
          <w:top w:val="single" w:color="D1D5DB" w:sz="4" w:space="4"/>
          <w:bottom w:val="single" w:color="D1D5DB" w:sz="4" w:space="4"/>
          <w:left w:val="single" w:color="D1D5DB" w:sz="4" w:space="4"/>
          <w:right w:val="single" w:color="D1D5DB" w:sz="4" w:space="4"/>
        </w:pBdr>
        <w:shd w:fill="F3F4F6" w:val="clear"/>
        <w:spacing w:after="200" w:before="100" w:line="264"/>
        <w:ind w:left="200" w:right="200"/>
      </w:pPr>
      <w:r>
        <w:rPr>
          <w:rFonts w:ascii="Consolas" w:cs="Consolas" w:eastAsia="Consolas" w:hAnsi="Consolas"/>
          <w:color w:val="111827"/>
          <w:sz w:val="19"/>
          <w:szCs w:val="19"/>
        </w:rPr>
        <w:t xml:space="preserve"># Using OR-Tools VRP solver (conceptual outline)</w:t>
      </w:r>
      <w:r>
        <w:rPr>
          <w:rFonts w:ascii="Consolas" w:cs="Consolas" w:eastAsia="Consolas" w:hAnsi="Consolas"/>
          <w:color w:val="111827"/>
          <w:sz w:val="19"/>
          <w:szCs w:val="19"/>
        </w:rPr>
        <w:br/>
        <w:t xml:space="preserve">from ortools.constraint_solver import pywrapcp, routing_enums_pb2</w:t>
      </w:r>
      <w:r>
        <w:rPr>
          <w:rFonts w:ascii="Consolas" w:cs="Consolas" w:eastAsia="Consolas" w:hAnsi="Consolas"/>
          <w:color w:val="111827"/>
          <w:sz w:val="19"/>
          <w:szCs w:val="19"/>
        </w:rPr>
        <w:br/>
        <w:t xml:space="preserve"/>
      </w:r>
      <w:r>
        <w:rPr>
          <w:rFonts w:ascii="Consolas" w:cs="Consolas" w:eastAsia="Consolas" w:hAnsi="Consolas"/>
          <w:color w:val="111827"/>
          <w:sz w:val="19"/>
          <w:szCs w:val="19"/>
        </w:rPr>
        <w:br/>
        <w:t xml:space="preserve">manager = pywrapcp.RoutingIndexManager(len(distance_matrix), num_vehicles, depot)</w:t>
      </w:r>
      <w:r>
        <w:rPr>
          <w:rFonts w:ascii="Consolas" w:cs="Consolas" w:eastAsia="Consolas" w:hAnsi="Consolas"/>
          <w:color w:val="111827"/>
          <w:sz w:val="19"/>
          <w:szCs w:val="19"/>
        </w:rPr>
        <w:br/>
        <w:t xml:space="preserve">routing = pywrapcp.RoutingModel(manager)</w:t>
      </w:r>
      <w:r>
        <w:rPr>
          <w:rFonts w:ascii="Consolas" w:cs="Consolas" w:eastAsia="Consolas" w:hAnsi="Consolas"/>
          <w:color w:val="111827"/>
          <w:sz w:val="19"/>
          <w:szCs w:val="19"/>
        </w:rPr>
        <w:br/>
        <w:t xml:space="preserve"># ... register distance callback, set search parameters ...</w:t>
      </w:r>
      <w:r>
        <w:rPr>
          <w:rFonts w:ascii="Consolas" w:cs="Consolas" w:eastAsia="Consolas" w:hAnsi="Consolas"/>
          <w:color w:val="111827"/>
          <w:sz w:val="19"/>
          <w:szCs w:val="19"/>
        </w:rPr>
        <w:br/>
        <w:t xml:space="preserve">solution = routing.SolveWithParameters(search_parameters)</w:t>
      </w:r>
    </w:p>
    <w:p>
      <w:pPr>
        <w:pStyle w:val="Heading1"/>
        <w:pBdr>
          <w:bottom w:val="single" w:color="D9622B" w:sz="8" w:space="4"/>
        </w:pBdr>
        <w:spacing w:after="160" w:before="320"/>
      </w:pPr>
      <w:r>
        <w:rPr>
          <w:b/>
          <w:bCs/>
          <w:color w:val="1F2937"/>
          <w:sz w:val="30"/>
          <w:szCs w:val="30"/>
        </w:rPr>
        <w:t xml:space="preserve">8. Conclusion and Expected Outcomes</w:t>
      </w:r>
    </w:p>
    <w:p>
      <w:pPr>
        <w:spacing w:after="160" w:line="300"/>
      </w:pPr>
      <w:r>
        <w:rPr>
          <w:color w:val="1F2937"/>
          <w:sz w:val="22"/>
          <w:szCs w:val="22"/>
        </w:rPr>
        <w:t xml:space="preserve">This planning phase establishes a clear, data-driven path from UrbanCart's current manual, intuition-based logistics operations to a measurable, KPI-tracked system. If executed, the roadmap is expected to:</w:t>
      </w:r>
    </w:p>
    <w:p>
      <w:pPr>
        <w:pStyle w:val="ListParagraph"/>
        <w:numPr>
          <w:ilvl w:val="0"/>
          <w:numId w:val="2"/>
        </w:numPr>
        <w:spacing w:after="80"/>
      </w:pPr>
      <w:r>
        <w:rPr>
          <w:color w:val="1F2937"/>
          <w:sz w:val="22"/>
          <w:szCs w:val="22"/>
        </w:rPr>
        <w:t xml:space="preserve">Improve On-Time Delivery Rate by reducing manual routing inefficiencies through zone clustering and route optimization.</w:t>
      </w:r>
    </w:p>
    <w:p>
      <w:pPr>
        <w:pStyle w:val="ListParagraph"/>
        <w:numPr>
          <w:ilvl w:val="0"/>
          <w:numId w:val="2"/>
        </w:numPr>
        <w:spacing w:after="80"/>
      </w:pPr>
      <w:r>
        <w:rPr>
          <w:color w:val="1F2937"/>
          <w:sz w:val="22"/>
          <w:szCs w:val="22"/>
        </w:rPr>
        <w:t xml:space="preserve">Improve Inventory Turnover by replacing static reorder rules with forecast-driven replenishment.</w:t>
      </w:r>
    </w:p>
    <w:p>
      <w:pPr>
        <w:pStyle w:val="ListParagraph"/>
        <w:numPr>
          <w:ilvl w:val="0"/>
          <w:numId w:val="2"/>
        </w:numPr>
        <w:spacing w:after="80"/>
      </w:pPr>
      <w:r>
        <w:rPr>
          <w:color w:val="1F2937"/>
          <w:sz w:val="22"/>
          <w:szCs w:val="22"/>
        </w:rPr>
        <w:t xml:space="preserve">Reduce Cost per Delivery by minimizing total route distance and driver overlap.</w:t>
      </w:r>
    </w:p>
    <w:p>
      <w:pPr>
        <w:spacing w:after="160" w:line="300"/>
      </w:pPr>
      <w:r>
        <w:rPr>
          <w:color w:val="1F2937"/>
          <w:sz w:val="22"/>
          <w:szCs w:val="22"/>
        </w:rPr>
        <w:t xml:space="preserve">Ultimately, this shifts UrbanCart's decision-making from reactive (responding to complaints and stockouts after they occur) to proactive (anticipating demand and routing needs before problems arise) — the core value proposition of applying data science to logistics.</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4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2026-09-26T17:04:02.058Z</dcterms:created>
  <dcterms:modified xsi:type="dcterms:W3CDTF">2026-09-26T17:04:02.068Z</dcterms:modified>
</cp:coreProperties>
</file>

<file path=docProps/custom.xml><?xml version="1.0" encoding="utf-8"?>
<Properties xmlns="http://schemas.openxmlformats.org/officeDocument/2006/custom-properties" xmlns:vt="http://schemas.openxmlformats.org/officeDocument/2006/docPropsVTypes"/>
</file>