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60"/>
        <w:jc w:val="center"/>
      </w:pPr>
      <w:r>
        <w:rPr>
          <w:rFonts w:ascii="Arial" w:cs="Arial" w:eastAsia="Arial" w:hAnsi="Arial"/>
          <w:b/>
          <w:bCs/>
          <w:color w:val="1F4E79"/>
          <w:sz w:val="52"/>
          <w:szCs w:val="52"/>
        </w:rPr>
        <w:t xml:space="preserve">Intelligent Trip Planning for</w:t>
      </w:r>
    </w:p>
    <w:p>
      <w:pPr>
        <w:spacing w:after="400"/>
        <w:jc w:val="center"/>
      </w:pPr>
      <w:r>
        <w:rPr>
          <w:rFonts w:ascii="Arial" w:cs="Arial" w:eastAsia="Arial" w:hAnsi="Arial"/>
          <w:b/>
          <w:bCs/>
          <w:color w:val="1F4E79"/>
          <w:sz w:val="52"/>
          <w:szCs w:val="52"/>
        </w:rPr>
        <w:t xml:space="preserve">Battery Electric Vehicles</w:t>
      </w:r>
    </w:p>
    <w:p>
      <w:pPr>
        <w:pBdr>
          <w:bottom w:val="single" w:color="2E75B6" w:sz="8" w:space="1"/>
        </w:pBdr>
        <w:spacing w:after="400"/>
        <w:jc w:val="center"/>
      </w:pPr>
      <w:r>
        <w:rPr>
          <w:rFonts w:ascii="Arial" w:cs="Arial" w:eastAsia="Arial" w:hAnsi="Arial"/>
          <w:color w:val="2E75B6"/>
          <w:sz w:val="28"/>
          <w:szCs w:val="28"/>
        </w:rPr>
        <w:t xml:space="preserve">Using Real-Time Map Data  |  Simulation-Based Workflow</w:t>
      </w:r>
    </w:p>
    <w:p>
      <w:pPr>
        <w:spacing w:after="400"/>
      </w:pPr>
    </w:p>
    <w:p>
      <w:pPr>
        <w:spacing w:after="120"/>
        <w:jc w:val="center"/>
      </w:pPr>
      <w:r>
        <w:rPr>
          <w:rFonts w:ascii="Arial" w:cs="Arial" w:eastAsia="Arial" w:hAnsi="Arial"/>
          <w:b/>
          <w:bCs/>
          <w:color w:val="404040"/>
          <w:sz w:val="26"/>
          <w:szCs w:val="26"/>
        </w:rPr>
        <w:t xml:space="preserve">Mohammed Afreed Pasha</w:t>
      </w:r>
    </w:p>
    <w:p>
      <w:pPr>
        <w:spacing w:after="120"/>
        <w:jc w:val="center"/>
      </w:pPr>
      <w:r>
        <w:rPr>
          <w:rFonts w:ascii="Arial" w:cs="Arial" w:eastAsia="Arial" w:hAnsi="Arial"/>
          <w:color w:val="555555"/>
          <w:sz w:val="22"/>
          <w:szCs w:val="22"/>
        </w:rPr>
        <w:t xml:space="preserve">B.Tech — Electronics and Communication Engineering</w:t>
      </w:r>
    </w:p>
    <w:p>
      <w:pPr>
        <w:spacing w:after="120"/>
        <w:jc w:val="center"/>
      </w:pPr>
      <w:r>
        <w:rPr>
          <w:rFonts w:ascii="Arial" w:cs="Arial" w:eastAsia="Arial" w:hAnsi="Arial"/>
          <w:color w:val="555555"/>
          <w:sz w:val="22"/>
          <w:szCs w:val="22"/>
        </w:rPr>
        <w:t xml:space="preserve">SR University, Warangal, Telangana, India</w:t>
      </w:r>
    </w:p>
    <w:p>
      <w:pPr>
        <w:spacing w:after="120"/>
        <w:jc w:val="center"/>
      </w:pPr>
      <w:r>
        <w:rPr>
          <w:rFonts w:ascii="Arial" w:cs="Arial" w:eastAsia="Arial" w:hAnsi="Arial"/>
          <w:color w:val="555555"/>
          <w:sz w:val="22"/>
          <w:szCs w:val="22"/>
        </w:rPr>
        <w:t xml:space="preserve">IEEE RAS  |  ISTE NITK</w:t>
      </w:r>
    </w:p>
    <w:p>
      <w:pPr>
        <w:spacing w:after="120"/>
        <w:jc w:val="center"/>
      </w:pPr>
      <w:r>
        <w:rPr>
          <w:rFonts w:ascii="Arial" w:cs="Arial" w:eastAsia="Arial" w:hAnsi="Arial"/>
          <w:color w:val="888888"/>
          <w:sz w:val="22"/>
          <w:szCs w:val="22"/>
        </w:rPr>
        <w:t xml:space="preserve">June 2026</w:t>
      </w:r>
    </w:p>
    <w:p>
      <w:r>
        <w:br w:type="page"/>
      </w:r>
    </w:p>
    <w:p>
      <w:pPr>
        <w:pStyle w:val="Heading1"/>
      </w:pPr>
      <w:r>
        <w:rPr>
          <w:rFonts w:ascii="Arial" w:cs="Arial" w:eastAsia="Arial" w:hAnsi="Arial"/>
          <w:b/>
          <w:bCs/>
          <w:color w:val="1F4E79"/>
          <w:sz w:val="32"/>
          <w:szCs w:val="32"/>
        </w:rPr>
        <w:t xml:space="preserve">1. Introduction</w:t>
      </w:r>
    </w:p>
    <w:p>
      <w:pPr>
        <w:spacing w:after="160"/>
      </w:pPr>
      <w:r>
        <w:rPr>
          <w:rFonts w:ascii="Arial" w:cs="Arial" w:eastAsia="Arial" w:hAnsi="Arial"/>
          <w:color w:val="404040"/>
          <w:sz w:val="22"/>
          <w:szCs w:val="22"/>
        </w:rPr>
        <w:t xml:space="preserve">Electric vehicles (EVs) are central to the global transition toward sustainable transportation. However, a key challenge facing BEV adoption is range anxiety — the uncertainty about whether a vehicle can complete a trip without running out of charge. Intelligent trip planning systems that leverage real-time data can significantly reduce this concern by predicting energy consumption before and during a journey.</w:t>
      </w:r>
    </w:p>
    <w:p>
      <w:pPr>
        <w:spacing w:after="160"/>
      </w:pPr>
      <w:r>
        <w:rPr>
          <w:rFonts w:ascii="Arial" w:cs="Arial" w:eastAsia="Arial" w:hAnsi="Arial"/>
          <w:color w:val="404040"/>
          <w:sz w:val="22"/>
          <w:szCs w:val="22"/>
        </w:rPr>
        <w:t xml:space="preserve">This project develops a simulation-based workflow for Battery Electric Vehicles that uses real-time map data obtained via the Google Maps API to construct realistic driving cycles. The workflow evaluates key performance metrics including State of Charge (SOC), energy consumption, and estimated trip cost, enabling users to compare routes and driving strategies.</w:t>
      </w:r>
    </w:p>
    <w:p>
      <w:pPr>
        <w:spacing w:after="120"/>
      </w:pPr>
    </w:p>
    <w:p>
      <w:pPr>
        <w:pStyle w:val="Heading1"/>
      </w:pPr>
      <w:r>
        <w:rPr>
          <w:rFonts w:ascii="Arial" w:cs="Arial" w:eastAsia="Arial" w:hAnsi="Arial"/>
          <w:b/>
          <w:bCs/>
          <w:color w:val="1F4E79"/>
          <w:sz w:val="32"/>
          <w:szCs w:val="32"/>
        </w:rPr>
        <w:t xml:space="preserve">2. Motivation</w:t>
      </w:r>
    </w:p>
    <w:p>
      <w:pPr>
        <w:spacing w:after="160"/>
      </w:pPr>
      <w:r>
        <w:rPr>
          <w:rFonts w:ascii="Arial" w:cs="Arial" w:eastAsia="Arial" w:hAnsi="Arial"/>
          <w:color w:val="404040"/>
          <w:sz w:val="22"/>
          <w:szCs w:val="22"/>
        </w:rPr>
        <w:t xml:space="preserve">Traditional drive cycles such as WLTP and EPA do not capture real-world variations in elevation, traffic density, or road type. These factors substantially influence energy consumption in BEVs. By integrating dynamic route data from publicly available mapping APIs, engineers and end users can:</w:t>
      </w:r>
    </w:p>
    <w:p>
      <w:pPr>
        <w:pStyle w:val="ListParagraph"/>
        <w:numPr>
          <w:ilvl w:val="0"/>
          <w:numId w:val="2"/>
        </w:numPr>
        <w:spacing w:after="80"/>
      </w:pPr>
      <w:r>
        <w:rPr>
          <w:rFonts w:ascii="Arial" w:cs="Arial" w:eastAsia="Arial" w:hAnsi="Arial"/>
          <w:color w:val="404040"/>
          <w:sz w:val="22"/>
          <w:szCs w:val="22"/>
        </w:rPr>
        <w:t xml:space="preserve">Model realistic energy demands based on actual road geometry</w:t>
      </w:r>
    </w:p>
    <w:p>
      <w:pPr>
        <w:pStyle w:val="ListParagraph"/>
        <w:numPr>
          <w:ilvl w:val="0"/>
          <w:numId w:val="2"/>
        </w:numPr>
        <w:spacing w:after="80"/>
      </w:pPr>
      <w:r>
        <w:rPr>
          <w:rFonts w:ascii="Arial" w:cs="Arial" w:eastAsia="Arial" w:hAnsi="Arial"/>
          <w:color w:val="404040"/>
          <w:sz w:val="22"/>
          <w:szCs w:val="22"/>
        </w:rPr>
        <w:t xml:space="preserve">Identify range-limiting segments such as steep grades or congested urban stretches</w:t>
      </w:r>
    </w:p>
    <w:p>
      <w:pPr>
        <w:pStyle w:val="ListParagraph"/>
        <w:numPr>
          <w:ilvl w:val="0"/>
          <w:numId w:val="2"/>
        </w:numPr>
        <w:spacing w:after="80"/>
      </w:pPr>
      <w:r>
        <w:rPr>
          <w:rFonts w:ascii="Arial" w:cs="Arial" w:eastAsia="Arial" w:hAnsi="Arial"/>
          <w:color w:val="404040"/>
          <w:sz w:val="22"/>
          <w:szCs w:val="22"/>
        </w:rPr>
        <w:t xml:space="preserve">Select the most energy-efficient route between an origin and destination</w:t>
      </w:r>
    </w:p>
    <w:p>
      <w:pPr>
        <w:pStyle w:val="ListParagraph"/>
        <w:numPr>
          <w:ilvl w:val="0"/>
          <w:numId w:val="2"/>
        </w:numPr>
        <w:spacing w:after="80"/>
      </w:pPr>
      <w:r>
        <w:rPr>
          <w:rFonts w:ascii="Arial" w:cs="Arial" w:eastAsia="Arial" w:hAnsi="Arial"/>
          <w:color w:val="404040"/>
          <w:sz w:val="22"/>
          <w:szCs w:val="22"/>
        </w:rPr>
        <w:t xml:space="preserve">Optimize charging stop locations for long-distance travel</w:t>
      </w:r>
    </w:p>
    <w:p>
      <w:pPr>
        <w:spacing w:after="120"/>
      </w:pPr>
    </w:p>
    <w:p>
      <w:pPr>
        <w:pStyle w:val="Heading1"/>
      </w:pPr>
      <w:r>
        <w:rPr>
          <w:rFonts w:ascii="Arial" w:cs="Arial" w:eastAsia="Arial" w:hAnsi="Arial"/>
          <w:b/>
          <w:bCs/>
          <w:color w:val="1F4E79"/>
          <w:sz w:val="32"/>
          <w:szCs w:val="32"/>
        </w:rPr>
        <w:t xml:space="preserve">3. Project Objectives</w:t>
      </w:r>
    </w:p>
    <w:p>
      <w:pPr>
        <w:pStyle w:val="ListParagraph"/>
        <w:numPr>
          <w:ilvl w:val="0"/>
          <w:numId w:val="3"/>
        </w:numPr>
        <w:spacing w:after="80"/>
      </w:pPr>
      <w:r>
        <w:rPr>
          <w:rFonts w:ascii="Arial" w:cs="Arial" w:eastAsia="Arial" w:hAnsi="Arial"/>
          <w:color w:val="404040"/>
          <w:sz w:val="22"/>
          <w:szCs w:val="22"/>
        </w:rPr>
        <w:t xml:space="preserve">Acquire and process real-time route data from Google Maps Directions and Elevation APIs</w:t>
      </w:r>
    </w:p>
    <w:p>
      <w:pPr>
        <w:pStyle w:val="ListParagraph"/>
        <w:numPr>
          <w:ilvl w:val="0"/>
          <w:numId w:val="3"/>
        </w:numPr>
        <w:spacing w:after="80"/>
      </w:pPr>
      <w:r>
        <w:rPr>
          <w:rFonts w:ascii="Arial" w:cs="Arial" w:eastAsia="Arial" w:hAnsi="Arial"/>
          <w:color w:val="404040"/>
          <w:sz w:val="22"/>
          <w:szCs w:val="22"/>
        </w:rPr>
        <w:t xml:space="preserve">Construct a time-speed driving cycle from elevation, speed limits, road type, and traffic data</w:t>
      </w:r>
    </w:p>
    <w:p>
      <w:pPr>
        <w:pStyle w:val="ListParagraph"/>
        <w:numPr>
          <w:ilvl w:val="0"/>
          <w:numId w:val="3"/>
        </w:numPr>
        <w:spacing w:after="80"/>
      </w:pPr>
      <w:r>
        <w:rPr>
          <w:rFonts w:ascii="Arial" w:cs="Arial" w:eastAsia="Arial" w:hAnsi="Arial"/>
          <w:color w:val="404040"/>
          <w:sz w:val="22"/>
          <w:szCs w:val="22"/>
        </w:rPr>
        <w:t xml:space="preserve">Develop and simulate a custom BEV model in MATLAB/Simulink using the Virtual Vehicle Composer</w:t>
      </w:r>
    </w:p>
    <w:p>
      <w:pPr>
        <w:pStyle w:val="ListParagraph"/>
        <w:numPr>
          <w:ilvl w:val="0"/>
          <w:numId w:val="3"/>
        </w:numPr>
        <w:spacing w:after="80"/>
      </w:pPr>
      <w:r>
        <w:rPr>
          <w:rFonts w:ascii="Arial" w:cs="Arial" w:eastAsia="Arial" w:hAnsi="Arial"/>
          <w:color w:val="404040"/>
          <w:sz w:val="22"/>
          <w:szCs w:val="22"/>
        </w:rPr>
        <w:t xml:space="preserve">Evaluate SOC trajectory, energy consumption, regenerative braking recovery, and trip cost</w:t>
      </w:r>
    </w:p>
    <w:p>
      <w:pPr>
        <w:pStyle w:val="ListParagraph"/>
        <w:numPr>
          <w:ilvl w:val="0"/>
          <w:numId w:val="3"/>
        </w:numPr>
        <w:spacing w:after="80"/>
      </w:pPr>
      <w:r>
        <w:rPr>
          <w:rFonts w:ascii="Arial" w:cs="Arial" w:eastAsia="Arial" w:hAnsi="Arial"/>
          <w:color w:val="404040"/>
          <w:sz w:val="22"/>
          <w:szCs w:val="22"/>
        </w:rPr>
        <w:t xml:space="preserve">Visualize route map, elevation profile, and performance KPIs using the Mapping Toolbox</w:t>
      </w:r>
    </w:p>
    <w:p>
      <w:pPr>
        <w:pStyle w:val="ListParagraph"/>
        <w:numPr>
          <w:ilvl w:val="0"/>
          <w:numId w:val="3"/>
        </w:numPr>
        <w:spacing w:after="80"/>
      </w:pPr>
      <w:r>
        <w:rPr>
          <w:rFonts w:ascii="Arial" w:cs="Arial" w:eastAsia="Arial" w:hAnsi="Arial"/>
          <w:color w:val="404040"/>
          <w:sz w:val="22"/>
          <w:szCs w:val="22"/>
        </w:rPr>
        <w:t xml:space="preserve">(Advanced) Compare Eco, Normal, and Performance driving modes for energy trade-off analysis</w:t>
      </w:r>
    </w:p>
    <w:p>
      <w:pPr>
        <w:pStyle w:val="ListParagraph"/>
        <w:numPr>
          <w:ilvl w:val="0"/>
          <w:numId w:val="3"/>
        </w:numPr>
        <w:spacing w:after="80"/>
      </w:pPr>
      <w:r>
        <w:rPr>
          <w:rFonts w:ascii="Arial" w:cs="Arial" w:eastAsia="Arial" w:hAnsi="Arial"/>
          <w:color w:val="404040"/>
          <w:sz w:val="22"/>
          <w:szCs w:val="22"/>
        </w:rPr>
        <w:t xml:space="preserve">(Advanced) Integrate charging station data and optimize stop locations using constraint-based methods</w:t>
      </w:r>
    </w:p>
    <w:p>
      <w:pPr>
        <w:spacing w:after="120"/>
      </w:pPr>
    </w:p>
    <w:p>
      <w:pPr>
        <w:pStyle w:val="Heading1"/>
      </w:pPr>
      <w:r>
        <w:rPr>
          <w:rFonts w:ascii="Arial" w:cs="Arial" w:eastAsia="Arial" w:hAnsi="Arial"/>
          <w:b/>
          <w:bCs/>
          <w:color w:val="1F4E79"/>
          <w:sz w:val="32"/>
          <w:szCs w:val="32"/>
        </w:rPr>
        <w:t xml:space="preserve">4. System Architecture</w:t>
      </w:r>
    </w:p>
    <w:p>
      <w:pPr>
        <w:spacing w:after="160"/>
      </w:pPr>
      <w:r>
        <w:rPr>
          <w:rFonts w:ascii="Arial" w:cs="Arial" w:eastAsia="Arial" w:hAnsi="Arial"/>
          <w:color w:val="404040"/>
          <w:sz w:val="22"/>
          <w:szCs w:val="22"/>
        </w:rPr>
        <w:t xml:space="preserve">The workflow is organized into four processing stages, each implemented as modular MATLAB functions.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sz w:val="20"/>
                <w:szCs w:val="20"/>
              </w:rPr>
              <w:t xml:space="preserve">Stage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sz w:val="20"/>
                <w:szCs w:val="20"/>
              </w:rPr>
              <w:t xml:space="preserve">Module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1. Data Acquisition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fetch_route_data.m
build_driving_cycle.m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Google Maps API integration; elevation parsing; time-speed cycle construction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2. Vehicle Model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vehicle_params.m
bev_model.slx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BEV parameterization; Simulink model (Virtual Vehicle Composer)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3. Simulation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run_simulation.m
compute_soc.m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Physics-based energy model; SOC trajectory; trip cost estimation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4. Visualization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plot_route_map.m
plot_soc_trend.m
plot_energy_summary.m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Route map, elevation profile, SOC trend, and energy KPI dashboard</w:t>
            </w:r>
          </w:p>
        </w:tc>
      </w:tr>
    </w:tbl>
    <w:p>
      <w:pPr>
        <w:spacing w:after="120"/>
      </w:pPr>
    </w:p>
    <w:p>
      <w:pPr>
        <w:pStyle w:val="Heading1"/>
      </w:pPr>
      <w:r>
        <w:rPr>
          <w:rFonts w:ascii="Arial" w:cs="Arial" w:eastAsia="Arial" w:hAnsi="Arial"/>
          <w:b/>
          <w:bCs/>
          <w:color w:val="1F4E79"/>
          <w:sz w:val="32"/>
          <w:szCs w:val="32"/>
        </w:rPr>
        <w:t xml:space="preserve">5. Methodology</w:t>
      </w:r>
    </w:p>
    <w:p>
      <w:pPr>
        <w:pStyle w:val="Heading2"/>
      </w:pPr>
      <w:r>
        <w:rPr>
          <w:rFonts w:ascii="Arial" w:cs="Arial" w:eastAsia="Arial" w:hAnsi="Arial"/>
          <w:b/>
          <w:bCs/>
          <w:color w:val="2E75B6"/>
          <w:sz w:val="26"/>
          <w:szCs w:val="26"/>
        </w:rPr>
        <w:t xml:space="preserve">5.1 Route Data Acquisition</w:t>
      </w:r>
    </w:p>
    <w:p>
      <w:pPr>
        <w:spacing w:after="160"/>
      </w:pPr>
      <w:r>
        <w:rPr>
          <w:rFonts w:ascii="Arial" w:cs="Arial" w:eastAsia="Arial" w:hAnsi="Arial"/>
          <w:color w:val="404040"/>
          <w:sz w:val="22"/>
          <w:szCs w:val="22"/>
        </w:rPr>
        <w:t xml:space="preserve">The Google Maps Directions API is queried with an origin-destination pair. The API returns road segments, estimated travel times, and an encoded polyline representing the route geometry. A custom polyline decoder converts this to latitude/longitude waypoints. Road type is inferred from step instructions and mapped to speed limit estimates (highway: 100 kph, arterial: 60 kph, urban: 40 kph).</w:t>
      </w:r>
    </w:p>
    <w:p>
      <w:pPr>
        <w:spacing w:after="160"/>
      </w:pPr>
      <w:r>
        <w:rPr>
          <w:rFonts w:ascii="Arial" w:cs="Arial" w:eastAsia="Arial" w:hAnsi="Arial"/>
          <w:color w:val="404040"/>
          <w:sz w:val="22"/>
          <w:szCs w:val="22"/>
        </w:rPr>
        <w:t xml:space="preserve">Elevation data is fetched from the Google Maps Elevation API using sampled waypoints along the decoded polyline. The elevation profile is interpolated using piecewise cubic Hermite interpolation (PCHIP) to a uniform spatial resolution.</w:t>
      </w:r>
    </w:p>
    <w:p>
      <w:pPr>
        <w:spacing w:after="120"/>
      </w:pPr>
    </w:p>
    <w:p>
      <w:pPr>
        <w:pStyle w:val="Heading2"/>
      </w:pPr>
      <w:r>
        <w:rPr>
          <w:rFonts w:ascii="Arial" w:cs="Arial" w:eastAsia="Arial" w:hAnsi="Arial"/>
          <w:b/>
          <w:bCs/>
          <w:color w:val="2E75B6"/>
          <w:sz w:val="26"/>
          <w:szCs w:val="26"/>
        </w:rPr>
        <w:t xml:space="preserve">5.2 Driving Cycle Construction</w:t>
      </w:r>
    </w:p>
    <w:p>
      <w:pPr>
        <w:spacing w:after="160"/>
      </w:pPr>
      <w:r>
        <w:rPr>
          <w:rFonts w:ascii="Arial" w:cs="Arial" w:eastAsia="Arial" w:hAnsi="Arial"/>
          <w:color w:val="404040"/>
          <w:sz w:val="22"/>
          <w:szCs w:val="22"/>
        </w:rPr>
        <w:t xml:space="preserve">A time-speed driving cycle is constructed from the route data using a trapezoidal velocity profile. Target speeds at each waypoint are determined by the lower of the road speed limit and the driving mode maximum speed. Acceleration is constrained by the mode-specific maximum acceleration limit. The resulting cycle is formatted compatibly with the Simulink Driving Cycle Source block.</w:t>
      </w:r>
    </w:p>
    <w:p>
      <w:pPr>
        <w:spacing w:after="120"/>
      </w:pPr>
    </w:p>
    <w:p>
      <w:pPr>
        <w:pStyle w:val="Heading2"/>
      </w:pPr>
      <w:r>
        <w:rPr>
          <w:rFonts w:ascii="Arial" w:cs="Arial" w:eastAsia="Arial" w:hAnsi="Arial"/>
          <w:b/>
          <w:bCs/>
          <w:color w:val="2E75B6"/>
          <w:sz w:val="26"/>
          <w:szCs w:val="26"/>
        </w:rPr>
        <w:t xml:space="preserve">5.3 Vehicle Energy Model</w:t>
      </w:r>
    </w:p>
    <w:p>
      <w:pPr>
        <w:spacing w:after="160"/>
      </w:pPr>
      <w:r>
        <w:rPr>
          <w:rFonts w:ascii="Arial" w:cs="Arial" w:eastAsia="Arial" w:hAnsi="Arial"/>
          <w:color w:val="404040"/>
          <w:sz w:val="22"/>
          <w:szCs w:val="22"/>
        </w:rPr>
        <w:t xml:space="preserve">Vehicle energy consumption is computed using a longitudinal dynamics model:</w:t>
      </w:r>
    </w:p>
    <w:p>
      <w:pPr>
        <w:pStyle w:val="ListParagraph"/>
        <w:numPr>
          <w:ilvl w:val="0"/>
          <w:numId w:val="2"/>
        </w:numPr>
        <w:spacing w:after="80"/>
      </w:pPr>
      <w:r>
        <w:rPr>
          <w:rFonts w:ascii="Arial" w:cs="Arial" w:eastAsia="Arial" w:hAnsi="Arial"/>
          <w:color w:val="404040"/>
          <w:sz w:val="22"/>
          <w:szCs w:val="22"/>
        </w:rPr>
        <w:t xml:space="preserve">Aerodynamic drag: F_aero = 0.5 * rho * Cd * A * v^2</w:t>
      </w:r>
    </w:p>
    <w:p>
      <w:pPr>
        <w:pStyle w:val="ListParagraph"/>
        <w:numPr>
          <w:ilvl w:val="0"/>
          <w:numId w:val="2"/>
        </w:numPr>
        <w:spacing w:after="80"/>
      </w:pPr>
      <w:r>
        <w:rPr>
          <w:rFonts w:ascii="Arial" w:cs="Arial" w:eastAsia="Arial" w:hAnsi="Arial"/>
          <w:color w:val="404040"/>
          <w:sz w:val="22"/>
          <w:szCs w:val="22"/>
        </w:rPr>
        <w:t xml:space="preserve">Rolling resistance: F_roll = Cr * m * g * cos(theta)</w:t>
      </w:r>
    </w:p>
    <w:p>
      <w:pPr>
        <w:pStyle w:val="ListParagraph"/>
        <w:numPr>
          <w:ilvl w:val="0"/>
          <w:numId w:val="2"/>
        </w:numPr>
        <w:spacing w:after="80"/>
      </w:pPr>
      <w:r>
        <w:rPr>
          <w:rFonts w:ascii="Arial" w:cs="Arial" w:eastAsia="Arial" w:hAnsi="Arial"/>
          <w:color w:val="404040"/>
          <w:sz w:val="22"/>
          <w:szCs w:val="22"/>
        </w:rPr>
        <w:t xml:space="preserve">Grade force: F_grade = m * g * sin(theta)</w:t>
      </w:r>
    </w:p>
    <w:p>
      <w:pPr>
        <w:pStyle w:val="ListParagraph"/>
        <w:numPr>
          <w:ilvl w:val="0"/>
          <w:numId w:val="2"/>
        </w:numPr>
        <w:spacing w:after="80"/>
      </w:pPr>
      <w:r>
        <w:rPr>
          <w:rFonts w:ascii="Arial" w:cs="Arial" w:eastAsia="Arial" w:hAnsi="Arial"/>
          <w:color w:val="404040"/>
          <w:sz w:val="22"/>
          <w:szCs w:val="22"/>
        </w:rPr>
        <w:t xml:space="preserve">Inertial force: F_inert = m * a</w:t>
      </w:r>
    </w:p>
    <w:p>
      <w:pPr>
        <w:spacing w:after="160"/>
      </w:pPr>
      <w:r>
        <w:rPr>
          <w:rFonts w:ascii="Arial" w:cs="Arial" w:eastAsia="Arial" w:hAnsi="Arial"/>
          <w:color w:val="404040"/>
          <w:sz w:val="22"/>
          <w:szCs w:val="22"/>
        </w:rPr>
        <w:t xml:space="preserve">When the net tractive force is negative (braking or downgrade), regenerative braking recovers energy at a configurable efficiency (default: 65%). SOC is updated each timestep by dividing the energy exchange by the battery capacity.</w:t>
      </w:r>
    </w:p>
    <w:p>
      <w:pPr>
        <w:spacing w:after="120"/>
      </w:pPr>
    </w:p>
    <w:p>
      <w:pPr>
        <w:pStyle w:val="Heading2"/>
      </w:pPr>
      <w:r>
        <w:rPr>
          <w:rFonts w:ascii="Arial" w:cs="Arial" w:eastAsia="Arial" w:hAnsi="Arial"/>
          <w:b/>
          <w:bCs/>
          <w:color w:val="2E75B6"/>
          <w:sz w:val="26"/>
          <w:szCs w:val="26"/>
        </w:rPr>
        <w:t xml:space="preserve">5.4 Simulink Integration</w:t>
      </w:r>
    </w:p>
    <w:p>
      <w:pPr>
        <w:spacing w:after="160"/>
      </w:pPr>
      <w:r>
        <w:rPr>
          <w:rFonts w:ascii="Arial" w:cs="Arial" w:eastAsia="Arial" w:hAnsi="Arial"/>
          <w:color w:val="404040"/>
          <w:sz w:val="22"/>
          <w:szCs w:val="22"/>
        </w:rPr>
        <w:t xml:space="preserve">The BEV model is built using the Virtual Vehicle Composer app, which generates a Powertrain Blockset-based Simulink model with configurable battery, motor, transmission, and chassis subsystems. The generated driving cycle is loaded via the Driving Cycle Source block. SOC and motor power outputs are logged to the MATLAB workspace for post-processing.</w:t>
      </w:r>
    </w:p>
    <w:p>
      <w:pPr>
        <w:spacing w:after="120"/>
      </w:pPr>
    </w:p>
    <w:p>
      <w:pPr>
        <w:pStyle w:val="Heading1"/>
      </w:pPr>
      <w:r>
        <w:rPr>
          <w:rFonts w:ascii="Arial" w:cs="Arial" w:eastAsia="Arial" w:hAnsi="Arial"/>
          <w:b/>
          <w:bCs/>
          <w:color w:val="1F4E79"/>
          <w:sz w:val="32"/>
          <w:szCs w:val="32"/>
        </w:rPr>
        <w:t xml:space="preserve">6. Key Outputs and Performance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sz w:val="20"/>
                <w:szCs w:val="20"/>
              </w:rPr>
              <w:t xml:space="preserve">Metric</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sz w:val="20"/>
                <w:szCs w:val="20"/>
              </w:rPr>
              <w:t xml:space="preserve">Unit</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State of Charge (SOC)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Battery charge level trajectory over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Energy Consumed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kWh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Total propulsion energy drawn from battery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Regen Recovered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kWh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Energy recovered via regenerative braking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Trip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INR / USD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Estimated electricity cost at prevailing tariff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Range Remaining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km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Predicted range after reaching destination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Charging Stops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Count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Optimal stops (Advanced mode only)</w:t>
            </w:r>
          </w:p>
        </w:tc>
      </w:tr>
    </w:tbl>
    <w:p>
      <w:pPr>
        <w:spacing w:after="120"/>
      </w:pPr>
    </w:p>
    <w:p>
      <w:pPr>
        <w:pStyle w:val="Heading1"/>
      </w:pPr>
      <w:r>
        <w:rPr>
          <w:rFonts w:ascii="Arial" w:cs="Arial" w:eastAsia="Arial" w:hAnsi="Arial"/>
          <w:b/>
          <w:bCs/>
          <w:color w:val="1F4E79"/>
          <w:sz w:val="32"/>
          <w:szCs w:val="32"/>
        </w:rPr>
        <w:t xml:space="preserve">7. Advanced Extensions</w:t>
      </w:r>
    </w:p>
    <w:p>
      <w:pPr>
        <w:pStyle w:val="Heading2"/>
      </w:pPr>
      <w:r>
        <w:rPr>
          <w:rFonts w:ascii="Arial" w:cs="Arial" w:eastAsia="Arial" w:hAnsi="Arial"/>
          <w:b/>
          <w:bCs/>
          <w:color w:val="2E75B6"/>
          <w:sz w:val="26"/>
          <w:szCs w:val="26"/>
        </w:rPr>
        <w:t xml:space="preserve">7.1 Driving Mode Comparison (Advanced Work 1)</w:t>
      </w:r>
    </w:p>
    <w:p>
      <w:pPr>
        <w:spacing w:after="160"/>
      </w:pPr>
      <w:r>
        <w:rPr>
          <w:rFonts w:ascii="Arial" w:cs="Arial" w:eastAsia="Arial" w:hAnsi="Arial"/>
          <w:color w:val="404040"/>
          <w:sz w:val="22"/>
          <w:szCs w:val="22"/>
        </w:rPr>
        <w:t xml:space="preserve">Three driving modes are implemented with distinct energy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sz w:val="20"/>
                <w:szCs w:val="20"/>
              </w:rPr>
              <w:t xml:space="preserve">Mode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sz w:val="20"/>
                <w:szCs w:val="20"/>
              </w:rPr>
              <w:t xml:space="preserve">Max Accel (m/s²)</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sz w:val="20"/>
                <w:szCs w:val="20"/>
              </w:rPr>
              <w:t xml:space="preserve">Max Speed (kph)</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sz w:val="20"/>
                <w:szCs w:val="20"/>
              </w:rPr>
              <w:t xml:space="preserve">Priority</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Eco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Minimize energy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Normal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Balance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Performance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Minimize time</w:t>
            </w:r>
          </w:p>
        </w:tc>
      </w:tr>
    </w:tbl>
    <w:p>
      <w:pPr>
        <w:spacing w:after="120"/>
      </w:pPr>
    </w:p>
    <w:p>
      <w:pPr>
        <w:spacing w:after="160"/>
      </w:pPr>
      <w:r>
        <w:rPr>
          <w:rFonts w:ascii="Arial" w:cs="Arial" w:eastAsia="Arial" w:hAnsi="Arial"/>
          <w:color w:val="404040"/>
          <w:sz w:val="22"/>
          <w:szCs w:val="22"/>
        </w:rPr>
        <w:t xml:space="preserve">The driving_mode_selector.m function runs all three simulations and produces a comparative bar chart of energy consumption, trip cost, and duration, enabling data-driven mode selection.</w:t>
      </w:r>
    </w:p>
    <w:p>
      <w:pPr>
        <w:spacing w:after="120"/>
      </w:pPr>
    </w:p>
    <w:p>
      <w:pPr>
        <w:pStyle w:val="Heading2"/>
      </w:pPr>
      <w:r>
        <w:rPr>
          <w:rFonts w:ascii="Arial" w:cs="Arial" w:eastAsia="Arial" w:hAnsi="Arial"/>
          <w:b/>
          <w:bCs/>
          <w:color w:val="2E75B6"/>
          <w:sz w:val="26"/>
          <w:szCs w:val="26"/>
        </w:rPr>
        <w:t xml:space="preserve">7.2 Charging Stop Optimization (Advanced Work 2)</w:t>
      </w:r>
    </w:p>
    <w:p>
      <w:pPr>
        <w:spacing w:after="160"/>
      </w:pPr>
      <w:r>
        <w:rPr>
          <w:rFonts w:ascii="Arial" w:cs="Arial" w:eastAsia="Arial" w:hAnsi="Arial"/>
          <w:color w:val="404040"/>
          <w:sz w:val="22"/>
          <w:szCs w:val="22"/>
        </w:rPr>
        <w:t xml:space="preserve">The charging_optimizer.m module ingests charging station data (location, power rating, tariff) and determines the minimum set of stops required to complete the trip while maintaining SOC above the minimum threshold (15%). The optimizer computes:</w:t>
      </w:r>
    </w:p>
    <w:p>
      <w:pPr>
        <w:pStyle w:val="ListParagraph"/>
        <w:numPr>
          <w:ilvl w:val="0"/>
          <w:numId w:val="2"/>
        </w:numPr>
        <w:spacing w:after="80"/>
      </w:pPr>
      <w:r>
        <w:rPr>
          <w:rFonts w:ascii="Arial" w:cs="Arial" w:eastAsia="Arial" w:hAnsi="Arial"/>
          <w:color w:val="404040"/>
          <w:sz w:val="22"/>
          <w:szCs w:val="22"/>
        </w:rPr>
        <w:t xml:space="preserve">SOC at arrival to each station via energy model interpolation</w:t>
      </w:r>
    </w:p>
    <w:p>
      <w:pPr>
        <w:pStyle w:val="ListParagraph"/>
        <w:numPr>
          <w:ilvl w:val="0"/>
          <w:numId w:val="2"/>
        </w:numPr>
        <w:spacing w:after="80"/>
      </w:pPr>
      <w:r>
        <w:rPr>
          <w:rFonts w:ascii="Arial" w:cs="Arial" w:eastAsia="Arial" w:hAnsi="Arial"/>
          <w:color w:val="404040"/>
          <w:sz w:val="22"/>
          <w:szCs w:val="22"/>
        </w:rPr>
        <w:t xml:space="preserve">Charge quantity required to reach target SOC (80%)</w:t>
      </w:r>
    </w:p>
    <w:p>
      <w:pPr>
        <w:pStyle w:val="ListParagraph"/>
        <w:numPr>
          <w:ilvl w:val="0"/>
          <w:numId w:val="2"/>
        </w:numPr>
        <w:spacing w:after="80"/>
      </w:pPr>
      <w:r>
        <w:rPr>
          <w:rFonts w:ascii="Arial" w:cs="Arial" w:eastAsia="Arial" w:hAnsi="Arial"/>
          <w:color w:val="404040"/>
          <w:sz w:val="22"/>
          <w:szCs w:val="22"/>
        </w:rPr>
        <w:t xml:space="preserve">Charge time based on station power rating</w:t>
      </w:r>
    </w:p>
    <w:p>
      <w:pPr>
        <w:pStyle w:val="ListParagraph"/>
        <w:numPr>
          <w:ilvl w:val="0"/>
          <w:numId w:val="2"/>
        </w:numPr>
        <w:spacing w:after="80"/>
      </w:pPr>
      <w:r>
        <w:rPr>
          <w:rFonts w:ascii="Arial" w:cs="Arial" w:eastAsia="Arial" w:hAnsi="Arial"/>
          <w:color w:val="404040"/>
          <w:sz w:val="22"/>
          <w:szCs w:val="22"/>
        </w:rPr>
        <w:t xml:space="preserve">Cost of charging at each station tariff</w:t>
      </w:r>
    </w:p>
    <w:p>
      <w:pPr>
        <w:spacing w:after="160"/>
      </w:pPr>
      <w:r>
        <w:rPr>
          <w:rFonts w:ascii="Arial" w:cs="Arial" w:eastAsia="Arial" w:hAnsi="Arial"/>
          <w:color w:val="404040"/>
          <w:sz w:val="22"/>
          <w:szCs w:val="22"/>
        </w:rPr>
        <w:t xml:space="preserve">The output plan minimizes total charging cost while ensuring trip completion. Visualization includes a map overlay of charging stops with SOC annotations.</w:t>
      </w:r>
    </w:p>
    <w:p>
      <w:pPr>
        <w:spacing w:after="120"/>
      </w:pPr>
    </w:p>
    <w:p>
      <w:pPr>
        <w:pStyle w:val="Heading1"/>
      </w:pPr>
      <w:r>
        <w:rPr>
          <w:rFonts w:ascii="Arial" w:cs="Arial" w:eastAsia="Arial" w:hAnsi="Arial"/>
          <w:b/>
          <w:bCs/>
          <w:color w:val="1F4E79"/>
          <w:sz w:val="32"/>
          <w:szCs w:val="32"/>
        </w:rPr>
        <w:t xml:space="preserve">8. Repository File Structure</w:t>
      </w:r>
    </w:p>
    <w:p>
      <w:pPr>
        <w:spacing w:after="160"/>
      </w:pPr>
      <w:r>
        <w:rPr>
          <w:rFonts w:ascii="Arial" w:cs="Arial" w:eastAsia="Arial" w:hAnsi="Arial"/>
          <w:color w:val="404040"/>
          <w:sz w:val="22"/>
          <w:szCs w:val="22"/>
        </w:rPr>
        <w:t xml:space="preserve">The project is organized for GitHub deployment with modular source, test, documentation, and CI/CD components: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sz w:val="20"/>
                <w:szCs w:val="20"/>
              </w:rPr>
              <w:t xml:space="preserve">File / Folder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Entry point — prompts user and orchestrates all stages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config.m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 keys, global parameters, mode profiles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src/data_acquisition/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Google Maps API fetch, elevation parse, driving cycle build</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src/vehicle_model/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BEV parameters and Simulink model configuration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src/simulation/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SOC computation, trip cost estimation, simulation runner</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src/visualization/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Route map, SOC trend, and energy KPI plots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src/optimization/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Driving mode selector and charging optimizer (Advanced)</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tests/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MATLAB unit tests for all core functions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.github/workflows/ci.yml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CI: lint + unit tests + doc validation on every push</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requirements.txt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MATLAB toolbox and API dependencies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sz w:val="20"/>
                <w:szCs w:val="20"/>
              </w:rPr>
              <w:t xml:space="preserve">docs/project_description.docx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This document</w:t>
            </w:r>
          </w:p>
        </w:tc>
      </w:tr>
    </w:tbl>
    <w:p>
      <w:pPr>
        <w:spacing w:after="120"/>
      </w:pPr>
    </w:p>
    <w:p>
      <w:pPr>
        <w:pStyle w:val="Heading1"/>
      </w:pPr>
      <w:r>
        <w:rPr>
          <w:rFonts w:ascii="Arial" w:cs="Arial" w:eastAsia="Arial" w:hAnsi="Arial"/>
          <w:b/>
          <w:bCs/>
          <w:color w:val="1F4E79"/>
          <w:sz w:val="32"/>
          <w:szCs w:val="32"/>
        </w:rPr>
        <w:t xml:space="preserve">9. References</w:t>
      </w:r>
    </w:p>
    <w:p>
      <w:pPr>
        <w:spacing w:after="160"/>
      </w:pPr>
      <w:r>
        <w:rPr>
          <w:rFonts w:ascii="Arial" w:cs="Arial" w:eastAsia="Arial" w:hAnsi="Arial"/>
          <w:color w:val="404040"/>
          <w:sz w:val="22"/>
          <w:szCs w:val="22"/>
        </w:rPr>
        <w:t xml:space="preserve">[1] Z. Wang and S. Wang, "Real-Time Dynamic Route Optimization Based on Predictive Control Principle," IEEE Access, vol. 10, pp. 55062–55072, 2022. doi: 10.1109/ACCESS.2022.3176950.</w:t>
      </w:r>
    </w:p>
    <w:p>
      <w:pPr>
        <w:spacing w:after="160"/>
      </w:pPr>
      <w:r>
        <w:rPr>
          <w:rFonts w:ascii="Arial" w:cs="Arial" w:eastAsia="Arial" w:hAnsi="Arial"/>
          <w:color w:val="404040"/>
          <w:sz w:val="22"/>
          <w:szCs w:val="22"/>
        </w:rPr>
        <w:t xml:space="preserve">[2] Y. Xiang, J. Yang, X. Li, C. Gu, and S. Zhang, "Routing Optimization of Electric Vehicles for Charging With Event-Driven Pricing Strategy," IEEE Trans. Autom. Sci. Eng., vol. 19, no. 1, pp. 7–20, Jan. 2022. doi: 10.1109/TASE.2021.3102997.</w:t>
      </w:r>
    </w:p>
    <w:p>
      <w:pPr>
        <w:spacing w:after="160"/>
      </w:pPr>
      <w:r>
        <w:rPr>
          <w:rFonts w:ascii="Arial" w:cs="Arial" w:eastAsia="Arial" w:hAnsi="Arial"/>
          <w:color w:val="404040"/>
          <w:sz w:val="22"/>
          <w:szCs w:val="22"/>
        </w:rPr>
        <w:t xml:space="preserve">[3] MathWorks, "Virtual Vehicle Composer — Get Started," MATLAB R2024a Documentation, 2024.</w:t>
      </w:r>
    </w:p>
    <w:p>
      <w:pPr>
        <w:spacing w:after="160"/>
      </w:pPr>
      <w:r>
        <w:rPr>
          <w:rFonts w:ascii="Arial" w:cs="Arial" w:eastAsia="Arial" w:hAnsi="Arial"/>
          <w:color w:val="404040"/>
          <w:sz w:val="22"/>
          <w:szCs w:val="22"/>
        </w:rPr>
        <w:t xml:space="preserve">[4] MathWorks, "Powertrain Blockset Overview," MATLAB R2024a Documentation, 2024.</w:t>
      </w:r>
    </w:p>
    <w:p>
      <w:pPr>
        <w:spacing w:after="160"/>
      </w:pPr>
      <w:r>
        <w:rPr>
          <w:rFonts w:ascii="Arial" w:cs="Arial" w:eastAsia="Arial" w:hAnsi="Arial"/>
          <w:color w:val="404040"/>
          <w:sz w:val="22"/>
          <w:szCs w:val="22"/>
        </w:rPr>
        <w:t xml:space="preserve">[5] Google Developers, "Directions API Overview," Google Maps Platform Documentation, 2024. [Online]. Available: https://developers.google.com/maps/documentation/directions</w:t>
      </w:r>
    </w:p>
    <w:p>
      <w:pPr>
        <w:spacing w:after="160"/>
      </w:pPr>
      <w:r>
        <w:rPr>
          <w:rFonts w:ascii="Arial" w:cs="Arial" w:eastAsia="Arial" w:hAnsi="Arial"/>
          <w:color w:val="404040"/>
          <w:sz w:val="22"/>
          <w:szCs w:val="22"/>
        </w:rPr>
        <w:t xml:space="preserve">[6] Google Developers, "Elevation API Overview," Google Maps Platform Documentation, 2024. [Online]. Available: https://developers.google.com/maps/documentation/elevation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6"/>
        <w:szCs w:val="16"/>
      </w:rPr>
      <w:t xml:space="preserve">Confidential — SR University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4E79"/>
        <w:sz w:val="18"/>
        <w:szCs w:val="18"/>
      </w:rPr>
      <w:t xml:space="preserve">Intelligent Trip Planning for Battery Electric Vehicles</w:t>
    </w:r>
    <w:r>
      <w:rPr>
        <w:rFonts w:ascii="Arial" w:cs="Arial" w:eastAsia="Arial" w:hAnsi="Arial"/>
        <w:color w:val="888888"/>
        <w:sz w:val="16"/>
        <w:szCs w:val="16"/>
      </w:rPr>
      <w:t xml:space="preserve">   |   Mohammed Afreed Pasha  |  SR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2026-06-16T03:43:07.884Z</dcterms:created>
  <dcterms:modified xsi:type="dcterms:W3CDTF">2026-06-16T03:43:07.884Z</dcterms:modified>
</cp:coreProperties>
</file>

<file path=docProps/custom.xml><?xml version="1.0" encoding="utf-8"?>
<Properties xmlns="http://schemas.openxmlformats.org/officeDocument/2006/custom-properties" xmlns:vt="http://schemas.openxmlformats.org/officeDocument/2006/docPropsVTypes"/>
</file>