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b/>
          <w:bCs/>
          <w:sz w:val="30"/>
          <w:szCs w:val="30"/>
          <w:rFonts w:ascii="Times New Roman" w:cs="Times New Roman" w:eastAsia="Times New Roman" w:hAnsi="Times New Roman"/>
        </w:rPr>
        <w:t xml:space="preserve">Platelet-rich plasma versus hyaluronic acid injection for knee osteoarthritis: a randomized controlled trial</w:t>
      </w:r>
    </w:p>
    <w:p>
      <w:pPr>
        <w:spacing w:after="160" w:line="300"/>
      </w:pPr>
      <w:r>
        <w:rPr>
          <w:i/>
          <w:iCs/>
          <w:sz w:val="20"/>
          <w:szCs w:val="20"/>
          <w:rFonts w:ascii="Times New Roman" w:cs="Times New Roman" w:eastAsia="Times New Roman" w:hAnsi="Times New Roman"/>
        </w:rPr>
        <w:t xml:space="preserve">Randomised controlled trial · PRP group (n=30) and HA group (n=30) · significance level 0.05</w:t>
      </w:r>
    </w:p>
    <w:p>
      <w:pPr>
        <w:spacing w:after="80" w:line="300"/>
      </w:pPr>
      <w:r>
        <w:rPr>
          <w:b/>
          <w:bCs/>
          <w:sz w:val="24"/>
          <w:szCs w:val="24"/>
          <w:rFonts w:ascii="Times New Roman" w:cs="Times New Roman" w:eastAsia="Times New Roman" w:hAnsi="Times New Roman"/>
        </w:rPr>
        <w:t xml:space="preserve">Key findings</w:t>
      </w:r>
    </w:p>
    <w:p>
      <w:pPr>
        <w:spacing w:after="60" w:line="260"/>
      </w:pPr>
      <w:r>
        <w:rPr>
          <w:sz w:val="21"/>
          <w:szCs w:val="21"/>
          <w:rFonts w:ascii="Times New Roman" w:cs="Times New Roman" w:eastAsia="Times New Roman" w:hAnsi="Times New Roman"/>
        </w:rPr>
        <w:t xml:space="preserve">• Age, sex, BMI, diabetes and KL grade were insignificantly different between the groups.</w:t>
      </w:r>
    </w:p>
    <w:p>
      <w:pPr>
        <w:spacing w:after="60" w:line="260"/>
      </w:pPr>
      <w:r>
        <w:rPr>
          <w:sz w:val="21"/>
          <w:szCs w:val="21"/>
          <w:rFonts w:ascii="Times New Roman" w:cs="Times New Roman" w:eastAsia="Times New Roman" w:hAnsi="Times New Roman"/>
        </w:rPr>
        <w:t xml:space="preserve">• WOMAC at Baseline was insignificantly different between the two groups.</w:t>
      </w:r>
    </w:p>
    <w:p>
      <w:pPr>
        <w:spacing w:after="60" w:line="260"/>
      </w:pPr>
      <w:r>
        <w:rPr>
          <w:sz w:val="21"/>
          <w:szCs w:val="21"/>
          <w:rFonts w:ascii="Times New Roman" w:cs="Times New Roman" w:eastAsia="Times New Roman" w:hAnsi="Times New Roman"/>
        </w:rPr>
        <w:t xml:space="preserve">• VAS at Baseline was insignificantly different between the two groups.</w:t>
      </w:r>
    </w:p>
    <w:p>
      <w:pPr>
        <w:spacing w:after="60" w:line="260"/>
      </w:pPr>
      <w:r>
        <w:rPr>
          <w:sz w:val="21"/>
          <w:szCs w:val="21"/>
          <w:rFonts w:ascii="Times New Roman" w:cs="Times New Roman" w:eastAsia="Times New Roman" w:hAnsi="Times New Roman"/>
        </w:rPr>
        <w:t xml:space="preserve">• Complications and satisfaction were insignificantly different between the two groups.</w:t>
      </w:r>
    </w:p>
    <w:p>
      <w:pPr>
        <w:spacing w:after="60" w:line="260"/>
      </w:pPr>
      <w:r>
        <w:rPr>
          <w:sz w:val="21"/>
          <w:szCs w:val="21"/>
          <w:rFonts w:ascii="Times New Roman" w:cs="Times New Roman" w:eastAsia="Times New Roman" w:hAnsi="Times New Roman"/>
        </w:rPr>
        <w:t xml:space="preserve">• After adjustment for WOMAC at Baseline and age, WOMAC at M6 was significantly different between the two groups (P value &lt; 0.001).</w:t>
      </w:r>
    </w:p>
    <w:p>
      <w:pPr>
        <w:spacing w:before="120" w:after="60"/>
        <w:jc w:val="center"/>
      </w:pPr>
      <w:r>
        <w:drawing>
          <wp:inline distT="0" distB="0" distL="0" distR="0">
            <wp:extent cx="4000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2190750"/>
                    </a:xfrm>
                    <a:prstGeom prst="rect">
                      <a:avLst/>
                    </a:prstGeom>
                  </pic:spPr>
                </pic:pic>
              </a:graphicData>
            </a:graphic>
          </wp:inline>
        </w:drawing>
      </w:r>
    </w:p>
    <w:p>
      <w:pPr>
        <w:spacing w:after="160" w:line="300"/>
        <w:jc w:val="center"/>
      </w:pPr>
      <w:r>
        <w:rPr>
          <w:i/>
          <w:iCs/>
          <w:sz w:val="18"/>
          <w:szCs w:val="18"/>
          <w:rFonts w:ascii="Times New Roman" w:cs="Times New Roman" w:eastAsia="Times New Roman" w:hAnsi="Times New Roman"/>
        </w:rPr>
        <w:t xml:space="preserve">WOMAC of the studied groups</w:t>
      </w:r>
    </w:p>
    <w:p>
      <w:pPr>
        <w:spacing w:after="80" w:line="300"/>
      </w:pPr>
      <w:r>
        <w:rPr>
          <w:b/>
          <w:bCs/>
          <w:sz w:val="24"/>
          <w:szCs w:val="24"/>
          <w:rFonts w:ascii="Times New Roman" w:cs="Times New Roman" w:eastAsia="Times New Roman" w:hAnsi="Times New Roman"/>
        </w:rPr>
        <w:t xml:space="preserve">In plain words</w:t>
      </w:r>
    </w:p>
    <w:p>
      <w:pPr>
        <w:spacing w:after="160" w:line="260"/>
      </w:pPr>
      <w:r>
        <w:rPr>
          <w:sz w:val="21"/>
          <w:szCs w:val="21"/>
          <w:rFonts w:ascii="Times New Roman" w:cs="Times New Roman" w:eastAsia="Times New Roman" w:hAnsi="Times New Roman"/>
        </w:rPr>
        <w:t xml:space="preserve">We studied PRP group (n=30) and HA group (n=30). The main differences we found: WOMAC at (M1, M3 and M6) was clearly lower in PRP group than HA group, which was clinically relevant. VAS at (M1, M3 and M6) was clearly lower in PRP group than HA group. After adjustment for WOMAC at Baseline and age, WOMAC at M6 was clearly different between the two groups. These results come from one study and should be confirmed by others before they change care.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zsvbqpogxyrdjq7kux0j.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2026-10-31T04:18:19.481Z</dcterms:created>
  <dcterms:modified xsi:type="dcterms:W3CDTF">2026-10-31T04:18:19.481Z</dcterms:modified>
</cp:coreProperties>
</file>

<file path=docProps/custom.xml><?xml version="1.0" encoding="utf-8"?>
<Properties xmlns="http://schemas.openxmlformats.org/officeDocument/2006/custom-properties" xmlns:vt="http://schemas.openxmlformats.org/officeDocument/2006/docPropsVTypes"/>
</file>