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Tender Readiness Audit Report Template (NASL Tender OS)</w:t>
      </w:r>
    </w:p>
    <w:p>
      <w:r>
        <w:rPr>
          <w:sz w:val="20"/>
        </w:rPr>
        <w:t>Client: [ENTITY NAME]    Sector: [Construction/FM/O&amp;M/etc.]</w:t>
        <w:br/>
      </w:r>
    </w:p>
    <w:p>
      <w:r>
        <w:rPr>
          <w:sz w:val="20"/>
        </w:rPr>
        <w:t>Tender profile: [Typical tender value]  | Platforms: [Etimad/Other]  | Audit date: 2026-03-06</w:t>
      </w:r>
    </w:p>
    <w:p>
      <w:r>
        <w:t>------------------------------------------------------------------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Readiness Tier: [RED/AMBER/GREEN] (from scoring rubric)</w:t>
      </w:r>
    </w:p>
    <w:p>
      <w:pPr>
        <w:pStyle w:val="ListBullet"/>
      </w:pPr>
      <w:r>
        <w:t>Total Score: [__ / 100]</w:t>
      </w:r>
    </w:p>
    <w:p>
      <w:pPr>
        <w:pStyle w:val="ListBullet"/>
      </w:pPr>
      <w:r>
        <w:t>Biggest DQ risks (top 3): [..]</w:t>
      </w:r>
    </w:p>
    <w:p>
      <w:pPr>
        <w:pStyle w:val="ListBullet"/>
      </w:pPr>
      <w:r>
        <w:t>Recommended next step: Setup Pack / Retainer / Tender-specific support</w:t>
      </w:r>
    </w:p>
    <w:p/>
    <w:p>
      <w:pPr>
        <w:pStyle w:val="Heading1"/>
      </w:pPr>
      <w:r>
        <w:t>2. Readiness Score Breakdown</w:t>
      </w:r>
    </w:p>
    <w:p>
      <w:r>
        <w:t>Insert a small table or screenshot from the scoring rubric (category scores + notes).</w:t>
      </w:r>
    </w:p>
    <w:p/>
    <w:p>
      <w:pPr>
        <w:pStyle w:val="Heading1"/>
      </w:pPr>
      <w:r>
        <w:t>3. Disqualification Risk Assessment (Formal Errors)</w:t>
      </w:r>
    </w:p>
    <w:p>
      <w:pPr>
        <w:pStyle w:val="ListBullet"/>
      </w:pPr>
      <w:r>
        <w:t>Bid bond readiness + placement rules</w:t>
      </w:r>
    </w:p>
    <w:p>
      <w:pPr>
        <w:pStyle w:val="ListBullet"/>
      </w:pPr>
      <w:r>
        <w:t>Mandatory certificates validity (expiry risk)</w:t>
      </w:r>
    </w:p>
    <w:p>
      <w:pPr>
        <w:pStyle w:val="ListBullet"/>
      </w:pPr>
      <w:r>
        <w:t>Cover letter / validity period</w:t>
      </w:r>
    </w:p>
    <w:p>
      <w:pPr>
        <w:pStyle w:val="ListBullet"/>
      </w:pPr>
      <w:r>
        <w:t>Pricing integrity checks (arithmetic/unpriced items/abnormally low)</w:t>
      </w:r>
    </w:p>
    <w:p>
      <w:pPr>
        <w:pStyle w:val="ListBullet"/>
      </w:pPr>
      <w:r>
        <w:t>Local content % (if required)</w:t>
      </w:r>
    </w:p>
    <w:p/>
    <w:p>
      <w:pPr>
        <w:pStyle w:val="Heading1"/>
      </w:pPr>
      <w:r>
        <w:t>4. Top Gaps (Prioritized)</w:t>
      </w:r>
    </w:p>
    <w:p>
      <w:pPr>
        <w:pStyle w:val="ListBullet"/>
      </w:pPr>
      <w:r>
        <w:t>Gap #1: [what] → Impact: [DQ/score] → Fix: [action] → Owner: [name] → ETA: [date]</w:t>
      </w:r>
    </w:p>
    <w:p>
      <w:pPr>
        <w:pStyle w:val="ListBullet"/>
      </w:pPr>
      <w:r>
        <w:t>Gap #2: ...</w:t>
      </w:r>
    </w:p>
    <w:p>
      <w:pPr>
        <w:pStyle w:val="ListBullet"/>
      </w:pPr>
      <w:r>
        <w:t>Gap #3: ...</w:t>
      </w:r>
    </w:p>
    <w:p/>
    <w:p>
      <w:pPr>
        <w:pStyle w:val="Heading1"/>
      </w:pPr>
      <w:r>
        <w:t>5. 30/60/90-Day Remediation Roadmap</w:t>
      </w:r>
    </w:p>
    <w:p>
      <w:pPr>
        <w:pStyle w:val="ListBullet"/>
      </w:pPr>
      <w:r>
        <w:t>0–30 days (Quick wins): fix mandatory documents, folder structure, baseline templates</w:t>
      </w:r>
    </w:p>
    <w:p>
      <w:pPr>
        <w:pStyle w:val="ListBullet"/>
      </w:pPr>
      <w:r>
        <w:t>31–60 days: build registers + methodology library + QA gates</w:t>
      </w:r>
    </w:p>
    <w:p>
      <w:pPr>
        <w:pStyle w:val="ListBullet"/>
      </w:pPr>
      <w:r>
        <w:t>61–90 days: implement retainer cadence + learning loop + metrics</w:t>
      </w:r>
    </w:p>
    <w:p/>
    <w:p>
      <w:pPr>
        <w:pStyle w:val="Heading1"/>
      </w:pPr>
      <w:r>
        <w:t>6. Template/Asset Library Recommendations</w:t>
      </w:r>
    </w:p>
    <w:p>
      <w:pPr>
        <w:pStyle w:val="ListBullet"/>
      </w:pPr>
      <w:r>
        <w:t>Must-have: Requirements Register, Evaluation Matrix, BOQ analysis, WBS, Special Conditions matrix</w:t>
      </w:r>
    </w:p>
    <w:p>
      <w:pPr>
        <w:pStyle w:val="ListBullet"/>
      </w:pPr>
      <w:r>
        <w:t>Execution assets: method statements, QA/QC, HSE, RACI, risk library, schedule blocks</w:t>
      </w:r>
    </w:p>
    <w:p>
      <w:pPr>
        <w:pStyle w:val="ListBullet"/>
      </w:pPr>
      <w:r>
        <w:t>Evidence assets: CV pack, certificates index, experience case studies</w:t>
      </w:r>
    </w:p>
    <w:p/>
    <w:p>
      <w:pPr>
        <w:pStyle w:val="Heading1"/>
      </w:pPr>
      <w:r>
        <w:t>7. Engagement Options (Productized)</w:t>
      </w:r>
    </w:p>
    <w:p>
      <w:pPr>
        <w:pStyle w:val="ListBullet"/>
      </w:pPr>
      <w:r>
        <w:t>Audit (this): SAR 2,000</w:t>
      </w:r>
    </w:p>
    <w:p>
      <w:pPr>
        <w:pStyle w:val="ListBullet"/>
      </w:pPr>
      <w:r>
        <w:t>Tender Setup Pack: SAR 8,000–12,000</w:t>
      </w:r>
    </w:p>
    <w:p>
      <w:pPr>
        <w:pStyle w:val="ListBullet"/>
      </w:pPr>
      <w:r>
        <w:t>Per-tender submission: SAR 5,000–15,000</w:t>
      </w:r>
    </w:p>
    <w:p>
      <w:pPr>
        <w:pStyle w:val="ListBullet"/>
      </w:pPr>
      <w:r>
        <w:t>Monthly retainer: SAR 5,000–8,000 (includes 1 tender/month)</w:t>
      </w:r>
    </w:p>
    <w:p>
      <w:pPr>
        <w:pStyle w:val="ListBullet"/>
      </w:pPr>
      <w:r>
        <w:t>Express: +50% for 48h</w:t>
      </w:r>
    </w:p>
    <w:p/>
    <w:p>
      <w:pPr>
        <w:pStyle w:val="Heading1"/>
      </w:pPr>
      <w:r>
        <w:t>Appendix A: Evidence Reviewed</w:t>
      </w:r>
    </w:p>
    <w:p>
      <w:r>
        <w:t>List the documents received during the audit and note missing items.</w:t>
      </w:r>
    </w:p>
    <w:p/>
    <w:p>
      <w:pPr>
        <w:pStyle w:val="Heading1"/>
      </w:pPr>
      <w:r>
        <w:t>Appendix B: Interview Notes</w:t>
      </w:r>
    </w:p>
    <w:p>
      <w:r>
        <w:t>Summarize key interview insights (process strengths/weaknesses).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