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8029DC" w:rsidRDefault="00A537D1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8029DC">
        <w:rPr>
          <w:rFonts w:ascii="Times New Roman" w:hAnsi="Times New Roman" w:cs="Times New Roman"/>
          <w:color w:val="000000" w:themeColor="text1"/>
        </w:rPr>
        <w:t>Business Summary Report: Predictive Insights for Collections Strategy</w:t>
      </w:r>
    </w:p>
    <w:p w14:paraId="2F4337BF" w14:textId="77777777" w:rsidR="007D72C2" w:rsidRPr="008029DC" w:rsidRDefault="00A537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029DC">
        <w:rPr>
          <w:rFonts w:ascii="Times New Roman" w:hAnsi="Times New Roman" w:cs="Times New Roman"/>
          <w:color w:val="000000" w:themeColor="text1"/>
        </w:rPr>
        <w:t>1. Summary of Predictive Insights</w:t>
      </w:r>
    </w:p>
    <w:p w14:paraId="78146367" w14:textId="77777777" w:rsidR="008029DC" w:rsidRPr="008029DC" w:rsidRDefault="008029DC" w:rsidP="008029DC">
      <w:p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Based on our exploratory data analysis and predictive 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modeling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framework, delinquency risk across 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Geldium’s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customer base is driven by complex, multi-variable interactions rather than isolated metrics. Because 84% of accounts remain non-delinquent, collections operations must pivot from reactive, late-stage manual outreach to automated, early-warning risk scoring. </w:t>
      </w:r>
    </w:p>
    <w:p w14:paraId="41365097" w14:textId="77777777" w:rsidR="008029DC" w:rsidRPr="008029DC" w:rsidRDefault="008029DC" w:rsidP="008029DC">
      <w:p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Top 3 Risk Factors:</w:t>
      </w:r>
    </w:p>
    <w:p w14:paraId="5BBE9987" w14:textId="77777777" w:rsidR="008029DC" w:rsidRPr="008029DC" w:rsidRDefault="008029DC" w:rsidP="008029D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Recent </w:t>
      </w:r>
      <w:proofErr w:type="spellStart"/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Behavioral</w:t>
      </w:r>
      <w:proofErr w:type="spellEnd"/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 Payment Friction (Month_5 &amp; Month_6):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Borrowers logging late or missed payments in the most recent two billing cycles demonstrate immediate cash-flow deterioration, making short-term payment history the single most predictive indicator of imminent default. </w:t>
      </w:r>
    </w:p>
    <w:p w14:paraId="3A14C6BB" w14:textId="77777777" w:rsidR="008029DC" w:rsidRPr="008029DC" w:rsidRDefault="008029DC" w:rsidP="008029D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Credit Utilization Ceiling Breaches ($&gt;100\%$):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Accounts operating above 100% credit line capacity carry recurring finance charges and balance rollovers, 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signaling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an exhaustion of available credit and extreme liquidity strain. </w:t>
      </w:r>
    </w:p>
    <w:p w14:paraId="4A18C2FC" w14:textId="77777777" w:rsidR="008029DC" w:rsidRPr="008029DC" w:rsidRDefault="008029DC" w:rsidP="008029D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High Debt-to-Income Combined with Employment Disruption: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Customers with heavy debt service burdens who face unemployment or income volatility lack the cash buffer needed to maintain minimum monthly obligations. </w:t>
      </w:r>
    </w:p>
    <w:p w14:paraId="32FD093A" w14:textId="77777777" w:rsidR="008029DC" w:rsidRPr="008029DC" w:rsidRDefault="008029DC" w:rsidP="008029DC">
      <w:pPr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Key Insights Summary Table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518"/>
        <w:gridCol w:w="1843"/>
        <w:gridCol w:w="2835"/>
        <w:gridCol w:w="2268"/>
      </w:tblGrid>
      <w:tr w:rsidR="008029DC" w:rsidRPr="008029DC" w14:paraId="263C0F5A" w14:textId="77777777" w:rsidTr="008029DC">
        <w:tc>
          <w:tcPr>
            <w:tcW w:w="2518" w:type="dxa"/>
            <w:vAlign w:val="center"/>
          </w:tcPr>
          <w:p w14:paraId="6049032F" w14:textId="4B146B96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Key Insight</w:t>
            </w:r>
          </w:p>
        </w:tc>
        <w:tc>
          <w:tcPr>
            <w:tcW w:w="1843" w:type="dxa"/>
            <w:vAlign w:val="center"/>
          </w:tcPr>
          <w:p w14:paraId="6C0C134A" w14:textId="697041F1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Customer Segment</w:t>
            </w:r>
          </w:p>
        </w:tc>
        <w:tc>
          <w:tcPr>
            <w:tcW w:w="2835" w:type="dxa"/>
            <w:vAlign w:val="center"/>
          </w:tcPr>
          <w:p w14:paraId="264CE955" w14:textId="129E9C56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Influencing Variables</w:t>
            </w:r>
          </w:p>
        </w:tc>
        <w:tc>
          <w:tcPr>
            <w:tcW w:w="2268" w:type="dxa"/>
            <w:vAlign w:val="center"/>
          </w:tcPr>
          <w:p w14:paraId="6FA027A2" w14:textId="69E0444A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Potential Impact</w:t>
            </w:r>
          </w:p>
        </w:tc>
      </w:tr>
      <w:tr w:rsidR="008029DC" w:rsidRPr="008029DC" w14:paraId="00140284" w14:textId="77777777" w:rsidTr="008029DC">
        <w:tc>
          <w:tcPr>
            <w:tcW w:w="2518" w:type="dxa"/>
            <w:vAlign w:val="center"/>
          </w:tcPr>
          <w:p w14:paraId="7B4B6DCB" w14:textId="5BA8BBCC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Severe Recency Risk:</w:t>
            </w: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 Default risk increases sharply when missed payments occur within the last 60 days. </w:t>
            </w:r>
          </w:p>
        </w:tc>
        <w:tc>
          <w:tcPr>
            <w:tcW w:w="1843" w:type="dxa"/>
            <w:vAlign w:val="center"/>
          </w:tcPr>
          <w:p w14:paraId="17BFEFAC" w14:textId="7339770B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Revolving credit cardholders with late or missed marks in Month_5 and Month_6. </w:t>
            </w:r>
          </w:p>
        </w:tc>
        <w:tc>
          <w:tcPr>
            <w:tcW w:w="2835" w:type="dxa"/>
            <w:vAlign w:val="center"/>
          </w:tcPr>
          <w:p w14:paraId="395A54C1" w14:textId="7E98DD73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Month_5, Month_6, </w:t>
            </w:r>
            <w:proofErr w:type="spellStart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Missed_Payments</w:t>
            </w:r>
            <w:proofErr w:type="spellEnd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. </w:t>
            </w:r>
          </w:p>
        </w:tc>
        <w:tc>
          <w:tcPr>
            <w:tcW w:w="2268" w:type="dxa"/>
            <w:vAlign w:val="center"/>
          </w:tcPr>
          <w:p w14:paraId="59723D97" w14:textId="497479BD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Enables collections agents to intervene within 5–10 days of a missed cycle rather than waiting 90+ days for formal default. </w:t>
            </w:r>
          </w:p>
        </w:tc>
      </w:tr>
      <w:tr w:rsidR="008029DC" w:rsidRPr="008029DC" w14:paraId="2FFCD593" w14:textId="77777777" w:rsidTr="008029DC">
        <w:tc>
          <w:tcPr>
            <w:tcW w:w="2518" w:type="dxa"/>
            <w:vAlign w:val="center"/>
          </w:tcPr>
          <w:p w14:paraId="4ED3817E" w14:textId="146F3655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Over-Limit Saturation:</w:t>
            </w: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 Utilization exceeding 100% signals an immediate default spiral. </w:t>
            </w:r>
          </w:p>
        </w:tc>
        <w:tc>
          <w:tcPr>
            <w:tcW w:w="1843" w:type="dxa"/>
            <w:vAlign w:val="center"/>
          </w:tcPr>
          <w:p w14:paraId="231B9BE9" w14:textId="09841939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Active borrowers maintaining credit utilization $\</w:t>
            </w:r>
            <w:proofErr w:type="spellStart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ge</w:t>
            </w:r>
            <w:proofErr w:type="spellEnd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 1.0$. </w:t>
            </w:r>
          </w:p>
        </w:tc>
        <w:tc>
          <w:tcPr>
            <w:tcW w:w="2835" w:type="dxa"/>
            <w:vAlign w:val="center"/>
          </w:tcPr>
          <w:p w14:paraId="75390B04" w14:textId="2BC857FB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Credit_Utilization</w:t>
            </w:r>
            <w:proofErr w:type="spellEnd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Loan_Balance</w:t>
            </w:r>
            <w:proofErr w:type="spellEnd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, Income. </w:t>
            </w:r>
          </w:p>
        </w:tc>
        <w:tc>
          <w:tcPr>
            <w:tcW w:w="2268" w:type="dxa"/>
            <w:vAlign w:val="center"/>
          </w:tcPr>
          <w:p w14:paraId="28687C56" w14:textId="3FE3FB78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Triggers early credit line freezes and interest-relief </w:t>
            </w:r>
            <w:proofErr w:type="spellStart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counseling</w:t>
            </w:r>
            <w:proofErr w:type="spellEnd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 to prevent balance compounding. </w:t>
            </w:r>
          </w:p>
        </w:tc>
      </w:tr>
      <w:tr w:rsidR="008029DC" w:rsidRPr="008029DC" w14:paraId="5D5B8132" w14:textId="77777777" w:rsidTr="008029DC">
        <w:tc>
          <w:tcPr>
            <w:tcW w:w="2518" w:type="dxa"/>
            <w:vAlign w:val="center"/>
          </w:tcPr>
          <w:p w14:paraId="220AF5FB" w14:textId="283308C8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Macro Leverage Vulnerability:</w:t>
            </w: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 High baseline debt-to-income limits shock absorption capacity. </w:t>
            </w:r>
          </w:p>
        </w:tc>
        <w:tc>
          <w:tcPr>
            <w:tcW w:w="1843" w:type="dxa"/>
            <w:vAlign w:val="center"/>
          </w:tcPr>
          <w:p w14:paraId="198B7421" w14:textId="48E4A07F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Unemployed borrowers carrying debt-to-income ratios $&gt; 35\%$. </w:t>
            </w:r>
          </w:p>
        </w:tc>
        <w:tc>
          <w:tcPr>
            <w:tcW w:w="2835" w:type="dxa"/>
            <w:vAlign w:val="center"/>
          </w:tcPr>
          <w:p w14:paraId="15F2D694" w14:textId="05EDF8B0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Debt_to_Income_Ratio</w:t>
            </w:r>
            <w:proofErr w:type="spellEnd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, </w:t>
            </w:r>
            <w:proofErr w:type="spellStart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>Employment_Status</w:t>
            </w:r>
            <w:proofErr w:type="spellEnd"/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. </w:t>
            </w:r>
          </w:p>
        </w:tc>
        <w:tc>
          <w:tcPr>
            <w:tcW w:w="2268" w:type="dxa"/>
            <w:vAlign w:val="center"/>
          </w:tcPr>
          <w:p w14:paraId="201EB546" w14:textId="156A3588" w:rsidR="008029DC" w:rsidRPr="008029DC" w:rsidRDefault="008029DC" w:rsidP="008029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29DC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Identifies priority candidates for long-term loan restructuring and hardship payment plans. </w:t>
            </w:r>
          </w:p>
        </w:tc>
      </w:tr>
    </w:tbl>
    <w:p w14:paraId="50978634" w14:textId="77777777" w:rsidR="00A537D1" w:rsidRPr="008029DC" w:rsidRDefault="00A537D1">
      <w:pPr>
        <w:rPr>
          <w:rFonts w:ascii="Times New Roman" w:hAnsi="Times New Roman" w:cs="Times New Roman"/>
          <w:color w:val="000000" w:themeColor="text1"/>
        </w:rPr>
      </w:pPr>
    </w:p>
    <w:p w14:paraId="72833B3F" w14:textId="77777777" w:rsidR="007D72C2" w:rsidRPr="008029DC" w:rsidRDefault="00A537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029DC">
        <w:rPr>
          <w:rFonts w:ascii="Times New Roman" w:hAnsi="Times New Roman" w:cs="Times New Roman"/>
          <w:color w:val="000000" w:themeColor="text1"/>
        </w:rPr>
        <w:lastRenderedPageBreak/>
        <w:t>2. Recommendation Framework</w:t>
      </w:r>
    </w:p>
    <w:p w14:paraId="502F7952" w14:textId="77777777" w:rsidR="008029DC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Restated Insight: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Borrowers who develop short-term payment friction (Month_5 and Month_6 late or missed payments) while carrying high credit utilization ($\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80\%$) face an exponential risk of defaulting within 90 days if left unassisted. </w:t>
      </w:r>
    </w:p>
    <w:p w14:paraId="484E2B5C" w14:textId="77777777" w:rsidR="008029DC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Proposed Recommendation: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Implement a proactive </w:t>
      </w: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"Early Care" Digital Intervention Workflow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that shifts the Collections department from punitive, late-stage recovery to early, automated assistance. </w:t>
      </w:r>
    </w:p>
    <w:p w14:paraId="79E249D3" w14:textId="77777777" w:rsidR="008029DC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Specific: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Deploy an automated SMS and email outreach program triggered whenever a customer's model risk score reaches $P(\</w:t>
      </w:r>
      <w:proofErr w:type="gramStart"/>
      <w:r w:rsidRPr="008029DC">
        <w:rPr>
          <w:rFonts w:ascii="Times New Roman" w:hAnsi="Times New Roman" w:cs="Times New Roman"/>
          <w:color w:val="000000" w:themeColor="text1"/>
          <w:lang w:val="en-IN"/>
        </w:rPr>
        <w:t>text{</w:t>
      </w:r>
      <w:proofErr w:type="gramEnd"/>
      <w:r w:rsidRPr="008029DC">
        <w:rPr>
          <w:rFonts w:ascii="Times New Roman" w:hAnsi="Times New Roman" w:cs="Times New Roman"/>
          <w:color w:val="000000" w:themeColor="text1"/>
          <w:lang w:val="en-IN"/>
        </w:rPr>
        <w:t>Delinquency}) \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0.35$ following a missed payment in Month_5 or Month_6 with credit utilization $\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80\%$. The notification offers a fee-free 60-day payment deferral or a structured micro-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installment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plan. </w:t>
      </w:r>
    </w:p>
    <w:p w14:paraId="793728F2" w14:textId="77777777" w:rsidR="008029DC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Measurable: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Achieve a </w:t>
      </w: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25% reduction in 90-day roll rates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(accounts transitioning from 30 days late to 90+ days delinquent) and reach a minimum </w:t>
      </w: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40% engagement rate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among targeted high-risk borrowers. </w:t>
      </w:r>
    </w:p>
    <w:p w14:paraId="542AD183" w14:textId="77777777" w:rsidR="008029DC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Actionable: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The collections operations team will configure automated outreach rules directly within 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Geldium’s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CRM and supply frontline representatives with standardized loan restructuring scripts. </w:t>
      </w:r>
    </w:p>
    <w:p w14:paraId="09B46356" w14:textId="77777777" w:rsidR="008029DC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Relevant: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Directly protects 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Geldium's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bottom line by averting severe bad-debt charge-offs and retaining profitable customer relationships. </w:t>
      </w:r>
    </w:p>
    <w:p w14:paraId="68539E6D" w14:textId="77777777" w:rsidR="008029DC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Time-bound: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Integrate the predictive model trigger into the collections CRM within 30 days, run a 60-day pilot across active billing cycles, and complete a full performance review by the end of Quarter 1. </w:t>
      </w:r>
    </w:p>
    <w:p w14:paraId="17D2B140" w14:textId="2E7895AF" w:rsidR="007D72C2" w:rsidRPr="008029DC" w:rsidRDefault="008029DC" w:rsidP="008029DC">
      <w:pPr>
        <w:pStyle w:val="ListBullet"/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Justification and Business Rationale: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Traditional collections outreach targets borrowers only after accounts become 60 to 90 days past due, resulting in low recovery yields and substantial third-party collection fees. Intervening during the first 30 days of distress allows 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Geldium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to help customers stabilize their finances before late fees compound their balances, meaningfully reducing loss reserves while maintaining customer trust.</w:t>
      </w:r>
    </w:p>
    <w:p w14:paraId="08E6A272" w14:textId="77777777" w:rsidR="007D72C2" w:rsidRPr="008029DC" w:rsidRDefault="00A537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029DC">
        <w:rPr>
          <w:rFonts w:ascii="Times New Roman" w:hAnsi="Times New Roman" w:cs="Times New Roman"/>
          <w:color w:val="000000" w:themeColor="text1"/>
        </w:rPr>
        <w:t>3. Ethical and Responsible AI Considerations</w:t>
      </w:r>
    </w:p>
    <w:p w14:paraId="1F128671" w14:textId="77777777" w:rsidR="008029DC" w:rsidRPr="008029DC" w:rsidRDefault="008029DC" w:rsidP="008029DC">
      <w:p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Deploying machine learning models within credit collections requires strong safeguards around algorithmic fairness, transparency, and consumer welfare. </w:t>
      </w:r>
    </w:p>
    <w:p w14:paraId="24BC607D" w14:textId="77777777" w:rsidR="008029DC" w:rsidRPr="008029DC" w:rsidRDefault="008029DC" w:rsidP="008029DC">
      <w:p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1. Fairness Risks &amp; Mitigation Strategies:</w:t>
      </w:r>
    </w:p>
    <w:p w14:paraId="69CE612B" w14:textId="77777777" w:rsidR="008029DC" w:rsidRPr="008029DC" w:rsidRDefault="008029DC" w:rsidP="008029D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Fairness Risk 1: Age-Based Disparate Impact:</w:t>
      </w:r>
    </w:p>
    <w:p w14:paraId="2D728C95" w14:textId="77777777" w:rsidR="008029DC" w:rsidRPr="008029DC" w:rsidRDefault="008029DC" w:rsidP="008029DC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Risk: Younger customers (Age 18–25) and students may have thinner credit profiles and lower entry-level wages, which could cause the model to assign disproportionately higher risk probabilities to these groups. </w:t>
      </w:r>
    </w:p>
    <w:p w14:paraId="1E88016E" w14:textId="77777777" w:rsidR="008029DC" w:rsidRPr="008029DC" w:rsidRDefault="008029DC" w:rsidP="008029DC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Mitigation: Audit model outputs using </w:t>
      </w: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Disparate Impact analysis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Demographic Parity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across age tiers. Ensure selection rates adhere to the $80\%$ rule, verifying that younger demographics are not targeted with restrictive measures at rates exceeding 1.25 times older customer cohorts. </w:t>
      </w:r>
    </w:p>
    <w:p w14:paraId="62AB8F82" w14:textId="77777777" w:rsidR="008029DC" w:rsidRPr="008029DC" w:rsidRDefault="008029DC" w:rsidP="008029D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Fairness Risk 2: Geographic and Socioeconomic Bias:</w:t>
      </w:r>
    </w:p>
    <w:p w14:paraId="6AAD510E" w14:textId="77777777" w:rsidR="008029DC" w:rsidRPr="008029DC" w:rsidRDefault="008029DC" w:rsidP="008029DC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Risk: Relying on the Location attribute can introduce regional socioeconomic bias, penalizing borrowers simply because they live in metropolitan areas undergoing broader economic stress. </w:t>
      </w:r>
    </w:p>
    <w:p w14:paraId="160B7655" w14:textId="77777777" w:rsidR="008029DC" w:rsidRPr="008029DC" w:rsidRDefault="008029DC" w:rsidP="008029DC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Mitigation: Exclude granular location indicators from core model decision nodes and monitor False Positive Rates across all geographic regions to verify equal predictive accuracy. </w:t>
      </w:r>
    </w:p>
    <w:p w14:paraId="50C7521A" w14:textId="77777777" w:rsidR="008029DC" w:rsidRPr="008029DC" w:rsidRDefault="008029DC" w:rsidP="008029DC">
      <w:p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2. Model Explainability &amp; Plain-Language Communication:</w:t>
      </w:r>
    </w:p>
    <w:p w14:paraId="09A58445" w14:textId="77777777" w:rsidR="008029DC" w:rsidRPr="008029DC" w:rsidRDefault="008029DC" w:rsidP="008029D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The predictive architecture incorporates </w:t>
      </w: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SHAP (Shapley Additive Explanations)</w:t>
      </w: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to explain risk scores without technical complexity. </w:t>
      </w:r>
    </w:p>
    <w:p w14:paraId="2DCFEFDC" w14:textId="77777777" w:rsidR="008029DC" w:rsidRPr="008029DC" w:rsidRDefault="008029DC" w:rsidP="008029DC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The collections interface converts mathematical model outputs into plain-language reason codes (e.g., "Account prioritized due to a missed payment last month and credit utilization exceeding 85%"). This allows collections representatives to explain outreach decisions transparently and empathetically to borrowers. </w:t>
      </w:r>
    </w:p>
    <w:p w14:paraId="1D318585" w14:textId="77777777" w:rsidR="008029DC" w:rsidRPr="008029DC" w:rsidRDefault="008029DC" w:rsidP="008029DC">
      <w:p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b/>
          <w:bCs/>
          <w:color w:val="000000" w:themeColor="text1"/>
          <w:lang w:val="en-IN"/>
        </w:rPr>
        <w:t>3. Supporting Responsible Financial Decisions:</w:t>
      </w:r>
    </w:p>
    <w:p w14:paraId="0FDBF472" w14:textId="77777777" w:rsidR="008029DC" w:rsidRPr="008029DC" w:rsidRDefault="008029DC" w:rsidP="008029DC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The model serves as a vehicle for proactive customer assistance, not punitive action. High-risk flags connect borrowers with structured repayment plans, temporary interest relief, and budgeting support, aligning </w:t>
      </w:r>
      <w:proofErr w:type="spellStart"/>
      <w:r w:rsidRPr="008029DC">
        <w:rPr>
          <w:rFonts w:ascii="Times New Roman" w:hAnsi="Times New Roman" w:cs="Times New Roman"/>
          <w:color w:val="000000" w:themeColor="text1"/>
          <w:lang w:val="en-IN"/>
        </w:rPr>
        <w:t>Geldium’s</w:t>
      </w:r>
      <w:proofErr w:type="spellEnd"/>
      <w:r w:rsidRPr="008029DC">
        <w:rPr>
          <w:rFonts w:ascii="Times New Roman" w:hAnsi="Times New Roman" w:cs="Times New Roman"/>
          <w:color w:val="000000" w:themeColor="text1"/>
          <w:lang w:val="en-IN"/>
        </w:rPr>
        <w:t xml:space="preserve"> automated decision systems with ethical banking and fair-lending standards. </w:t>
      </w:r>
    </w:p>
    <w:p w14:paraId="33EC1793" w14:textId="47A85004" w:rsidR="007D72C2" w:rsidRPr="008029DC" w:rsidRDefault="007D72C2" w:rsidP="008029DC">
      <w:pPr>
        <w:rPr>
          <w:rFonts w:ascii="Times New Roman" w:hAnsi="Times New Roman" w:cs="Times New Roman"/>
          <w:color w:val="000000" w:themeColor="text1"/>
        </w:rPr>
      </w:pPr>
    </w:p>
    <w:sectPr w:rsidR="007D72C2" w:rsidRPr="00802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67453"/>
    <w:multiLevelType w:val="multilevel"/>
    <w:tmpl w:val="C20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E4E02"/>
    <w:multiLevelType w:val="multilevel"/>
    <w:tmpl w:val="B40C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90355"/>
    <w:multiLevelType w:val="multilevel"/>
    <w:tmpl w:val="169A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57E56"/>
    <w:multiLevelType w:val="multilevel"/>
    <w:tmpl w:val="F748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B71A7"/>
    <w:multiLevelType w:val="multilevel"/>
    <w:tmpl w:val="D99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104544639">
    <w:abstractNumId w:val="9"/>
  </w:num>
  <w:num w:numId="11" w16cid:durableId="1238174235">
    <w:abstractNumId w:val="10"/>
  </w:num>
  <w:num w:numId="12" w16cid:durableId="1196431550">
    <w:abstractNumId w:val="11"/>
  </w:num>
  <w:num w:numId="13" w16cid:durableId="795757168">
    <w:abstractNumId w:val="12"/>
  </w:num>
  <w:num w:numId="14" w16cid:durableId="8590520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2C2"/>
    <w:rsid w:val="008029DC"/>
    <w:rsid w:val="008237CA"/>
    <w:rsid w:val="00901F13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 Dalli</cp:lastModifiedBy>
  <cp:revision>3</cp:revision>
  <dcterms:created xsi:type="dcterms:W3CDTF">2013-12-23T23:15:00Z</dcterms:created>
  <dcterms:modified xsi:type="dcterms:W3CDTF">2026-09-24T11:30:00Z</dcterms:modified>
  <cp:category/>
</cp:coreProperties>
</file>