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8: APPENDIX</w:t>
      </w:r>
    </w:p>
    <w:p>
      <w:r>
        <w:br/>
        <w:t xml:space="preserve">The appendix contains supplementary outputs, visualizations, and screenshots that support the analysis and development process of the Health Risk Prediction System. </w:t>
        <w:br/>
        <w:t>These results illustrate the workflow of the model — from dataset preprocessing and model training to web interface prediction and visualization dashboards.</w:t>
        <w:br/>
      </w:r>
    </w:p>
    <w:p>
      <w:pPr>
        <w:pStyle w:val="Heading2"/>
      </w:pPr>
      <w:r>
        <w:t>8.1 Model Training and Evaluation Output</w:t>
      </w:r>
    </w:p>
    <w:p>
      <w:r>
        <w:br/>
        <w:t>This section shows the evaluation metrics obtained after training the Logistic Regression model on the Framingham Heart Study dataset.</w:t>
        <w:br/>
      </w:r>
    </w:p>
    <w:p>
      <w:r>
        <w:br/>
        <w:t>Details:</w:t>
        <w:br/>
        <w:t>- Algorithm Used: Logistic Regression</w:t>
        <w:br/>
        <w:t>- Accuracy: 85%</w:t>
        <w:br/>
        <w:t>- Precision: 88%</w:t>
        <w:br/>
        <w:t>- Recall: 54%</w:t>
        <w:br/>
        <w:t>- F1 Score: 53%</w:t>
        <w:br/>
        <w:t>- ROC-AUC Score: 0.88</w:t>
        <w:br/>
      </w:r>
    </w:p>
    <w:p>
      <w:r>
        <w:br/>
        <w:t>These metrics demonstrate that the model performs reliably in distinguishing between CHD and non-CHD cases.</w:t>
        <w:br/>
      </w:r>
    </w:p>
    <w:p>
      <w:r>
        <w:t>Figure 8.1: Model Training and Evaluation Output – [Insert Screenshot]</w:t>
      </w:r>
    </w:p>
    <w:p>
      <w:pPr>
        <w:pStyle w:val="Heading2"/>
      </w:pPr>
      <w:r>
        <w:t>8.2 Cluster Distribution (KMeans Results)</w:t>
      </w:r>
    </w:p>
    <w:p>
      <w:r>
        <w:br/>
        <w:t>The KMeans Clustering algorithm was used to categorize individuals into three distinct health risk clusters:</w:t>
        <w:br/>
        <w:t>- Cluster 0 – Low Risk</w:t>
        <w:br/>
        <w:t>- Cluster 1 – Healthy</w:t>
        <w:br/>
        <w:t>- Cluster 2 – High Risk</w:t>
        <w:br/>
      </w:r>
    </w:p>
    <w:p>
      <w:r>
        <w:br/>
        <w:t>Cluster Distribution Results:</w:t>
        <w:br/>
        <w:t>- Cluster 0: 327 samples (44.67%)</w:t>
        <w:br/>
        <w:t>- Cluster 1: 384 samples (52.46%)</w:t>
        <w:br/>
        <w:t>- Cluster 2: 21 samples (2.87%)</w:t>
        <w:br/>
      </w:r>
    </w:p>
    <w:p>
      <w:r>
        <w:t>Figure 8.2: Cluster Distribution Pie Chart – [Insert Screenshot]</w:t>
      </w:r>
    </w:p>
    <w:p>
      <w:pPr>
        <w:pStyle w:val="Heading2"/>
      </w:pPr>
      <w:r>
        <w:t>8.3 Flask Web Application Interface</w:t>
      </w:r>
    </w:p>
    <w:p>
      <w:r>
        <w:br/>
        <w:t>The web interface built using Flask allows users to:</w:t>
        <w:br/>
        <w:t>1. Enter personal health details such as age, cholesterol, and glucose levels.</w:t>
        <w:br/>
        <w:t>2. Receive instant CHD probability prediction (in %).</w:t>
        <w:br/>
        <w:t>3. View a personalized health score (0–100).</w:t>
        <w:br/>
        <w:t>4. Get an insurance plan recommendation based on the predicted risk category.</w:t>
        <w:br/>
      </w:r>
    </w:p>
    <w:p>
      <w:r>
        <w:t>Figure 8.3: Flask Application Interface – [Insert Screenshot]</w:t>
      </w:r>
    </w:p>
    <w:p>
      <w:pPr>
        <w:pStyle w:val="Heading2"/>
      </w:pPr>
      <w:r>
        <w:t>8.4 Model Dashboard</w:t>
      </w:r>
    </w:p>
    <w:p>
      <w:r>
        <w:br/>
        <w:t>The dashboard provides an interactive visualization of model performance and prediction results. It includes:</w:t>
        <w:br/>
        <w:t>- Health Score Distribution Bar Graph</w:t>
        <w:br/>
        <w:t>- CHD Probability Distribution Graph</w:t>
        <w:br/>
        <w:t>- Cluster Probability Pie Chart</w:t>
        <w:br/>
        <w:t>- Sample Predictions Table</w:t>
        <w:br/>
      </w:r>
    </w:p>
    <w:p>
      <w:r>
        <w:t>Figure 8.4: Model Dashboard Visualization – [Insert Screenshot]</w:t>
      </w:r>
    </w:p>
    <w:p>
      <w:pPr>
        <w:pStyle w:val="Heading2"/>
      </w:pPr>
      <w:r>
        <w:t>8.5 Insurance Recommendation Logic</w:t>
      </w:r>
    </w:p>
    <w:p>
      <w:r>
        <w:br/>
        <w:t>The insurance recommendation feature maps the predicted CHD probability and health score to suitable insurance policies for better healthcare planning.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 Level</w:t>
            </w:r>
          </w:p>
        </w:tc>
        <w:tc>
          <w:tcPr>
            <w:tcW w:type="dxa" w:w="1728"/>
          </w:tcPr>
          <w:p>
            <w:r>
              <w:t>Suggested Plan</w:t>
            </w:r>
          </w:p>
        </w:tc>
        <w:tc>
          <w:tcPr>
            <w:tcW w:type="dxa" w:w="1728"/>
          </w:tcPr>
          <w:p>
            <w:r>
              <w:t>Insurance Provider</w:t>
            </w:r>
          </w:p>
        </w:tc>
        <w:tc>
          <w:tcPr>
            <w:tcW w:type="dxa" w:w="1728"/>
          </w:tcPr>
          <w:p>
            <w:r>
              <w:t>Sum Insured</w:t>
            </w:r>
          </w:p>
        </w:tc>
        <w:tc>
          <w:tcPr>
            <w:tcW w:type="dxa" w:w="1728"/>
          </w:tcPr>
          <w:p>
            <w:r>
              <w:t>Approx. Premium</w:t>
            </w:r>
          </w:p>
        </w:tc>
      </w:tr>
      <w:tr>
        <w:tc>
          <w:tcPr>
            <w:tcW w:type="dxa" w:w="1728"/>
          </w:tcPr>
          <w:p>
            <w:r>
              <w:t>Low Risk</w:t>
            </w:r>
          </w:p>
        </w:tc>
        <w:tc>
          <w:tcPr>
            <w:tcW w:type="dxa" w:w="1728"/>
          </w:tcPr>
          <w:p>
            <w:r>
              <w:t>Basic Plan</w:t>
            </w:r>
          </w:p>
        </w:tc>
        <w:tc>
          <w:tcPr>
            <w:tcW w:type="dxa" w:w="1728"/>
          </w:tcPr>
          <w:p>
            <w:r>
              <w:t>HDFC ERGO General Insurance</w:t>
            </w:r>
          </w:p>
        </w:tc>
        <w:tc>
          <w:tcPr>
            <w:tcW w:type="dxa" w:w="1728"/>
          </w:tcPr>
          <w:p>
            <w:r>
              <w:t>₹3–7.5 lakh</w:t>
            </w:r>
          </w:p>
        </w:tc>
        <w:tc>
          <w:tcPr>
            <w:tcW w:type="dxa" w:w="1728"/>
          </w:tcPr>
          <w:p>
            <w:r>
              <w:t>₹350–₹650/month</w:t>
            </w:r>
          </w:p>
        </w:tc>
      </w:tr>
      <w:tr>
        <w:tc>
          <w:tcPr>
            <w:tcW w:type="dxa" w:w="1728"/>
          </w:tcPr>
          <w:p>
            <w:r>
              <w:t>Moderate Risk</w:t>
            </w:r>
          </w:p>
        </w:tc>
        <w:tc>
          <w:tcPr>
            <w:tcW w:type="dxa" w:w="1728"/>
          </w:tcPr>
          <w:p>
            <w:r>
              <w:t>Standard Plan</w:t>
            </w:r>
          </w:p>
        </w:tc>
        <w:tc>
          <w:tcPr>
            <w:tcW w:type="dxa" w:w="1728"/>
          </w:tcPr>
          <w:p>
            <w:r>
              <w:t>Star Health &amp; Allied Insurance</w:t>
            </w:r>
          </w:p>
        </w:tc>
        <w:tc>
          <w:tcPr>
            <w:tcW w:type="dxa" w:w="1728"/>
          </w:tcPr>
          <w:p>
            <w:r>
              <w:t>₹10 lakh</w:t>
            </w:r>
          </w:p>
        </w:tc>
        <w:tc>
          <w:tcPr>
            <w:tcW w:type="dxa" w:w="1728"/>
          </w:tcPr>
          <w:p>
            <w:r>
              <w:t>₹550–₹900/month</w:t>
            </w:r>
          </w:p>
        </w:tc>
      </w:tr>
      <w:tr>
        <w:tc>
          <w:tcPr>
            <w:tcW w:type="dxa" w:w="1728"/>
          </w:tcPr>
          <w:p>
            <w:r>
              <w:t>High Risk</w:t>
            </w:r>
          </w:p>
        </w:tc>
        <w:tc>
          <w:tcPr>
            <w:tcW w:type="dxa" w:w="1728"/>
          </w:tcPr>
          <w:p>
            <w:r>
              <w:t>Premium Plan</w:t>
            </w:r>
          </w:p>
        </w:tc>
        <w:tc>
          <w:tcPr>
            <w:tcW w:type="dxa" w:w="1728"/>
          </w:tcPr>
          <w:p>
            <w:r>
              <w:t>Niva Bupa Health Insurance</w:t>
            </w:r>
          </w:p>
        </w:tc>
        <w:tc>
          <w:tcPr>
            <w:tcW w:type="dxa" w:w="1728"/>
          </w:tcPr>
          <w:p>
            <w:r>
              <w:t>₹30–50 lakh</w:t>
            </w:r>
          </w:p>
        </w:tc>
        <w:tc>
          <w:tcPr>
            <w:tcW w:type="dxa" w:w="1728"/>
          </w:tcPr>
          <w:p>
            <w:r>
              <w:t>₹1,412/month</w:t>
            </w:r>
          </w:p>
        </w:tc>
      </w:tr>
      <w:tr>
        <w:tc>
          <w:tcPr>
            <w:tcW w:type="dxa" w:w="1728"/>
          </w:tcPr>
          <w:p>
            <w:r>
              <w:t>Very High Risk</w:t>
            </w:r>
          </w:p>
        </w:tc>
        <w:tc>
          <w:tcPr>
            <w:tcW w:type="dxa" w:w="1728"/>
          </w:tcPr>
          <w:p>
            <w:r>
              <w:t>Elite Plan</w:t>
            </w:r>
          </w:p>
        </w:tc>
        <w:tc>
          <w:tcPr>
            <w:tcW w:type="dxa" w:w="1728"/>
          </w:tcPr>
          <w:p>
            <w:r>
              <w:t>New India Assurance</w:t>
            </w:r>
          </w:p>
        </w:tc>
        <w:tc>
          <w:tcPr>
            <w:tcW w:type="dxa" w:w="1728"/>
          </w:tcPr>
          <w:p>
            <w:r>
              <w:t>₹50 lakh–₹1 crore</w:t>
            </w:r>
          </w:p>
        </w:tc>
        <w:tc>
          <w:tcPr>
            <w:tcW w:type="dxa" w:w="1728"/>
          </w:tcPr>
          <w:p>
            <w:r>
              <w:t>₹1,863/month</w:t>
            </w:r>
          </w:p>
        </w:tc>
      </w:tr>
    </w:tbl>
    <w:p>
      <w:r>
        <w:t>Figure 8.5: Insurance Mapping Table – [Insert Screenshot of Result Section]</w:t>
      </w:r>
    </w:p>
    <w:p>
      <w:pPr>
        <w:pStyle w:val="Heading2"/>
      </w:pPr>
      <w:r>
        <w:t>8.6 Team and Project Deployment Details</w:t>
      </w:r>
    </w:p>
    <w:p>
      <w:r>
        <w:br/>
        <w:t>Developed By:</w:t>
        <w:br/>
        <w:t>- Mohan Narayanapuram (RA2311056010126)</w:t>
        <w:br/>
        <w:t>- D. Pujith Ram Reddy (RA2311056010153)</w:t>
        <w:br/>
        <w:br/>
        <w:t>Tools and Technologies Used:</w:t>
        <w:br/>
        <w:t>- Programming Language: Python 3.13</w:t>
        <w:br/>
        <w:t>- Libraries: Pandas, NumPy, scikit-learn, Flask, Matplotlib, Chart.js</w:t>
        <w:br/>
        <w:t>- Frontend: HTML, CSS, Bootstrap</w:t>
        <w:br/>
        <w:t>- Deployment Environment: macOS (local Flask server)</w:t>
        <w:br/>
      </w:r>
    </w:p>
    <w:p>
      <w:r>
        <w:t>Figure 8.6: Technology Stack Diagram – [Insert Image of Workflow or Architecture]</w:t>
      </w:r>
    </w:p>
    <w:p>
      <w:pPr>
        <w:pStyle w:val="Heading2"/>
      </w:pPr>
      <w:r>
        <w:t>8.7 Output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Output 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Model Training</w:t>
            </w:r>
          </w:p>
        </w:tc>
        <w:tc>
          <w:tcPr>
            <w:tcW w:type="dxa" w:w="2880"/>
          </w:tcPr>
          <w:p>
            <w:r>
              <w:t>Logistic Regression fitted successfully</w:t>
            </w:r>
          </w:p>
        </w:tc>
        <w:tc>
          <w:tcPr>
            <w:tcW w:type="dxa" w:w="2880"/>
          </w:tcPr>
          <w:p>
            <w:r>
              <w:t>✅ CHD Prediction Model Trained Successfully</w:t>
            </w:r>
          </w:p>
        </w:tc>
      </w:tr>
      <w:tr>
        <w:tc>
          <w:tcPr>
            <w:tcW w:type="dxa" w:w="2880"/>
          </w:tcPr>
          <w:p>
            <w:r>
              <w:t>Clustering</w:t>
            </w:r>
          </w:p>
        </w:tc>
        <w:tc>
          <w:tcPr>
            <w:tcW w:type="dxa" w:w="2880"/>
          </w:tcPr>
          <w:p>
            <w:r>
              <w:t>KMeans model fitted with 3 clusters</w:t>
            </w:r>
          </w:p>
        </w:tc>
        <w:tc>
          <w:tcPr>
            <w:tcW w:type="dxa" w:w="2880"/>
          </w:tcPr>
          <w:p>
            <w:r>
              <w:t>✅ Fitted KMeans health scoring (n_clusters=3)</w:t>
            </w:r>
          </w:p>
        </w:tc>
      </w:tr>
      <w:tr>
        <w:tc>
          <w:tcPr>
            <w:tcW w:type="dxa" w:w="2880"/>
          </w:tcPr>
          <w:p>
            <w:r>
              <w:t>Output Saved</w:t>
            </w:r>
          </w:p>
        </w:tc>
        <w:tc>
          <w:tcPr>
            <w:tcW w:type="dxa" w:w="2880"/>
          </w:tcPr>
          <w:p>
            <w:r>
              <w:t>CSV and model files generated</w:t>
            </w:r>
          </w:p>
        </w:tc>
        <w:tc>
          <w:tcPr>
            <w:tcW w:type="dxa" w:w="2880"/>
          </w:tcPr>
          <w:p>
            <w:r>
              <w:t>health_scores.csv, model_metrics.pkl</w:t>
            </w:r>
          </w:p>
        </w:tc>
      </w:tr>
      <w:tr>
        <w:tc>
          <w:tcPr>
            <w:tcW w:type="dxa" w:w="2880"/>
          </w:tcPr>
          <w:p>
            <w:r>
              <w:t>Flask Execution</w:t>
            </w:r>
          </w:p>
        </w:tc>
        <w:tc>
          <w:tcPr>
            <w:tcW w:type="dxa" w:w="2880"/>
          </w:tcPr>
          <w:p>
            <w:r>
              <w:t>Web interface launched</w:t>
            </w:r>
          </w:p>
        </w:tc>
        <w:tc>
          <w:tcPr>
            <w:tcW w:type="dxa" w:w="2880"/>
          </w:tcPr>
          <w:p>
            <w:r>
              <w:t>Running on http://localhost:5000</w:t>
            </w:r>
          </w:p>
        </w:tc>
      </w:tr>
      <w:tr>
        <w:tc>
          <w:tcPr>
            <w:tcW w:type="dxa" w:w="2880"/>
          </w:tcPr>
          <w:p>
            <w:r>
              <w:t>Prediction</w:t>
            </w:r>
          </w:p>
        </w:tc>
        <w:tc>
          <w:tcPr>
            <w:tcW w:type="dxa" w:w="2880"/>
          </w:tcPr>
          <w:p>
            <w:r>
              <w:t>Probability + Score displayed</w:t>
            </w:r>
          </w:p>
        </w:tc>
        <w:tc>
          <w:tcPr>
            <w:tcW w:type="dxa" w:w="2880"/>
          </w:tcPr>
          <w:p>
            <w:r>
              <w:t>CHD Risk: 5.16%, Health Score: 93.96/100</w:t>
            </w:r>
          </w:p>
        </w:tc>
      </w:tr>
    </w:tbl>
    <w:p>
      <w:r>
        <w:t>Figure 8.7: Command Line Execution Summary – [Insert Screenshot]</w:t>
      </w:r>
    </w:p>
    <w:p>
      <w:pPr>
        <w:pStyle w:val="Heading2"/>
      </w:pPr>
      <w:r>
        <w:t>8.8 Summary</w:t>
      </w:r>
    </w:p>
    <w:p>
      <w:r>
        <w:br/>
        <w:t xml:space="preserve">This appendix provides all the supporting artifacts that validate the working of the Health Risk Prediction System. </w:t>
        <w:br/>
        <w:t>It demonstrates a complete machine learning pipeline — from preprocessing to visualization and deployment — ensuring reproducibility, explainability, and real-world applicability.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