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TILLI SOFTWARE</w:t>
      </w:r>
    </w:p>
    <w:p>
      <w:pPr>
        <w:pStyle w:val="Heading1"/>
        <w:jc w:val="center"/>
      </w:pPr>
      <w:r>
        <w:t>AI COMPETENCY &amp; AWARENESS POLICY</w:t>
      </w:r>
    </w:p>
    <w:p>
      <w:r>
        <w:t>Document ID: AIMS-TRN-001</w:t>
      </w:r>
    </w:p>
    <w:p>
      <w:r>
        <w:t>Version: 1.0</w:t>
      </w:r>
    </w:p>
    <w:p>
      <w:r>
        <w:t>Owner: AI Governance Lead</w:t>
      </w:r>
    </w:p>
    <w:p>
      <w:r>
        <w:t>Approved By: Board of Directors</w:t>
      </w:r>
    </w:p>
    <w:p>
      <w:r>
        <w:t>Effective Date: [Insert Date]</w:t>
      </w:r>
    </w:p>
    <w:p>
      <w:r>
        <w:t>Review Cycle: Annual</w:t>
      </w:r>
    </w:p>
    <w:p>
      <w:r>
        <w:t>Framework Alignment: ISO/IEC 42001:2023 Clause 7.2</w:t>
      </w:r>
    </w:p>
    <w:p>
      <w:r>
        <w:br w:type="page"/>
      </w:r>
    </w:p>
    <w:p>
      <w:pPr>
        <w:pStyle w:val="Heading2"/>
      </w:pPr>
      <w:r>
        <w:t>1. PURPOSE</w:t>
      </w:r>
    </w:p>
    <w:p>
      <w:r>
        <w:t>This Policy defines the competency, training, and awareness requirements for personnel involved in the design, development, deployment, validation, monitoring, and oversight of Artificial Intelligence (AI) systems at Tilli Software. It ensures that AI-related responsibilities are performed by competent individuals in alignment with ISO/IEC 42001:2023 Clause 7.2.</w:t>
      </w:r>
    </w:p>
    <w:p>
      <w:pPr>
        <w:pStyle w:val="Heading2"/>
      </w:pPr>
      <w:r>
        <w:t>2. SCOPE</w:t>
      </w:r>
    </w:p>
    <w:p>
      <w:r>
        <w:t>This Policy applies to all employees, contractors, and third parties contributing to AI-enabled systems across Engineering, Product, Security, Compliance, Data, and Operations.</w:t>
      </w:r>
    </w:p>
    <w:p>
      <w:pPr>
        <w:pStyle w:val="Heading2"/>
      </w:pPr>
      <w:r>
        <w:t>3. ROLE-BASED COMPETENCY REQUIREMENTS</w:t>
      </w:r>
    </w:p>
    <w:tbl>
      <w:tblPr>
        <w:tblW w:type="auto" w:w="0"/>
        <w:jc w:val="center"/>
        <w:tblLook w:firstColumn="1" w:firstRow="1" w:lastColumn="0" w:lastRow="0" w:noHBand="0" w:noVBand="1" w:val="04A0"/>
      </w:tblPr>
      <w:tblGrid>
        <w:gridCol w:w="2880"/>
        <w:gridCol w:w="2880"/>
        <w:gridCol w:w="2880"/>
      </w:tblGrid>
      <w:tr>
        <w:tc>
          <w:tcPr>
            <w:tcW w:type="dxa" w:w="2880"/>
          </w:tcPr>
          <w:p>
            <w:r>
              <w:t>Role</w:t>
            </w:r>
          </w:p>
        </w:tc>
        <w:tc>
          <w:tcPr>
            <w:tcW w:type="dxa" w:w="2880"/>
          </w:tcPr>
          <w:p>
            <w:r>
              <w:t>Minimum Competency Requirements</w:t>
            </w:r>
          </w:p>
        </w:tc>
        <w:tc>
          <w:tcPr>
            <w:tcW w:type="dxa" w:w="2880"/>
          </w:tcPr>
          <w:p>
            <w:r>
              <w:t>Required Training</w:t>
            </w:r>
          </w:p>
        </w:tc>
      </w:tr>
      <w:tr>
        <w:tc>
          <w:tcPr>
            <w:tcW w:type="dxa" w:w="2880"/>
          </w:tcPr>
          <w:p>
            <w:r>
              <w:t>AI Governance Lead</w:t>
            </w:r>
          </w:p>
        </w:tc>
        <w:tc>
          <w:tcPr>
            <w:tcW w:type="dxa" w:w="2880"/>
          </w:tcPr>
          <w:p>
            <w:r>
              <w:t>Understanding of AI risk frameworks, ISO 42001, regulatory exposure, and model governance principles</w:t>
            </w:r>
          </w:p>
        </w:tc>
        <w:tc>
          <w:tcPr>
            <w:tcW w:type="dxa" w:w="2880"/>
          </w:tcPr>
          <w:p>
            <w:r>
              <w:t>Annual AI Governance &amp; Risk Training</w:t>
            </w:r>
          </w:p>
        </w:tc>
      </w:tr>
      <w:tr>
        <w:tc>
          <w:tcPr>
            <w:tcW w:type="dxa" w:w="2880"/>
          </w:tcPr>
          <w:p>
            <w:r>
              <w:t>Engineering Lead</w:t>
            </w:r>
          </w:p>
        </w:tc>
        <w:tc>
          <w:tcPr>
            <w:tcW w:type="dxa" w:w="2880"/>
          </w:tcPr>
          <w:p>
            <w:r>
              <w:t>Knowledge of AI system architecture, secure coding practices, validation controls, and monitoring</w:t>
            </w:r>
          </w:p>
        </w:tc>
        <w:tc>
          <w:tcPr>
            <w:tcW w:type="dxa" w:w="2880"/>
          </w:tcPr>
          <w:p>
            <w:r>
              <w:t>Secure AI Development Training (Annual)</w:t>
            </w:r>
          </w:p>
        </w:tc>
      </w:tr>
      <w:tr>
        <w:tc>
          <w:tcPr>
            <w:tcW w:type="dxa" w:w="2880"/>
          </w:tcPr>
          <w:p>
            <w:r>
              <w:t>Product Owner</w:t>
            </w:r>
          </w:p>
        </w:tc>
        <w:tc>
          <w:tcPr>
            <w:tcW w:type="dxa" w:w="2880"/>
          </w:tcPr>
          <w:p>
            <w:r>
              <w:t>Understanding of AI feature impact, business risk, and regulatory considerations</w:t>
            </w:r>
          </w:p>
        </w:tc>
        <w:tc>
          <w:tcPr>
            <w:tcW w:type="dxa" w:w="2880"/>
          </w:tcPr>
          <w:p>
            <w:r>
              <w:t>AI Product Risk Awareness Training (Annual)</w:t>
            </w:r>
          </w:p>
        </w:tc>
      </w:tr>
      <w:tr>
        <w:tc>
          <w:tcPr>
            <w:tcW w:type="dxa" w:w="2880"/>
          </w:tcPr>
          <w:p>
            <w:r>
              <w:t>Security Team</w:t>
            </w:r>
          </w:p>
        </w:tc>
        <w:tc>
          <w:tcPr>
            <w:tcW w:type="dxa" w:w="2880"/>
          </w:tcPr>
          <w:p>
            <w:r>
              <w:t>Knowledge of AI security threats, prompt injection risks, and monitoring controls</w:t>
            </w:r>
          </w:p>
        </w:tc>
        <w:tc>
          <w:tcPr>
            <w:tcW w:type="dxa" w:w="2880"/>
          </w:tcPr>
          <w:p>
            <w:r>
              <w:t>AI Security &amp; Threat Modeling Training (Annual)</w:t>
            </w:r>
          </w:p>
        </w:tc>
      </w:tr>
      <w:tr>
        <w:tc>
          <w:tcPr>
            <w:tcW w:type="dxa" w:w="2880"/>
          </w:tcPr>
          <w:p>
            <w:r>
              <w:t>Independent Validator</w:t>
            </w:r>
          </w:p>
        </w:tc>
        <w:tc>
          <w:tcPr>
            <w:tcW w:type="dxa" w:w="2880"/>
          </w:tcPr>
          <w:p>
            <w:r>
              <w:t>Experience in model validation, statistical testing, bias analysis, and performance benchmarking</w:t>
            </w:r>
          </w:p>
        </w:tc>
        <w:tc>
          <w:tcPr>
            <w:tcW w:type="dxa" w:w="2880"/>
          </w:tcPr>
          <w:p>
            <w:r>
              <w:t>Advanced AI Model Validation Training (Annual)</w:t>
            </w:r>
          </w:p>
        </w:tc>
      </w:tr>
    </w:tbl>
    <w:p>
      <w:pPr>
        <w:pStyle w:val="Heading2"/>
      </w:pPr>
      <w:r>
        <w:t>4. MANDATORY TRAINING REQUIREMENTS</w:t>
      </w:r>
    </w:p>
    <w:p>
      <w:pPr>
        <w:pStyle w:val="ListBullet"/>
      </w:pPr>
      <w:r>
        <w:t>All AI contributors must complete onboarding AI governance training prior to production access.</w:t>
      </w:r>
    </w:p>
    <w:p>
      <w:pPr>
        <w:pStyle w:val="ListBullet"/>
      </w:pPr>
      <w:r>
        <w:t>Annual refresher training is mandatory for all AI-related roles.</w:t>
      </w:r>
    </w:p>
    <w:p>
      <w:pPr>
        <w:pStyle w:val="ListBullet"/>
      </w:pPr>
      <w:r>
        <w:t>Specialized training is required for personnel performing independent validation.</w:t>
      </w:r>
    </w:p>
    <w:p>
      <w:pPr>
        <w:pStyle w:val="ListBullet"/>
      </w:pPr>
      <w:r>
        <w:t>Awareness communication regarding AI policy updates must be distributed organization-wide.</w:t>
      </w:r>
    </w:p>
    <w:p>
      <w:pPr>
        <w:pStyle w:val="Heading2"/>
      </w:pPr>
      <w:r>
        <w:t>5. COMPETENCY ASSESSMENT &amp; RECORDS</w:t>
      </w:r>
    </w:p>
    <w:p>
      <w:r>
        <w:t>Competency shall be assessed through training completion records, attestation acknowledgments, and periodic review by the AI Governance Lead.</w:t>
      </w:r>
    </w:p>
    <w:p>
      <w:r>
        <w:t>Training records shall be maintained in a controlled repository and retained for a minimum of five (5) years.</w:t>
      </w:r>
    </w:p>
    <w:p>
      <w:pPr>
        <w:pStyle w:val="Heading2"/>
      </w:pPr>
      <w:r>
        <w:t>6. NON-COMPLIANCE</w:t>
      </w:r>
    </w:p>
    <w:p>
      <w:r>
        <w:t>Personnel who fail to complete required training may have AI system access suspended until compliance is achieved.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28AC1A645EC7642BB1CAFC205964F13" ma:contentTypeVersion="18" ma:contentTypeDescription="Create a new document." ma:contentTypeScope="" ma:versionID="5c3c4e6709d4eb6b5680942c2062fa31">
  <xsd:schema xmlns:xsd="http://www.w3.org/2001/XMLSchema" xmlns:xs="http://www.w3.org/2001/XMLSchema" xmlns:p="http://schemas.microsoft.com/office/2006/metadata/properties" xmlns:ns2="87ab6801-0c2f-4efe-b1cd-807f9fa7d761" xmlns:ns3="2af8d7b6-483a-4ed7-a374-ddac51cde818" targetNamespace="http://schemas.microsoft.com/office/2006/metadata/properties" ma:root="true" ma:fieldsID="008981f577a0f9f4458f21ab95c307f5" ns2:_="" ns3:_="">
    <xsd:import namespace="87ab6801-0c2f-4efe-b1cd-807f9fa7d761"/>
    <xsd:import namespace="2af8d7b6-483a-4ed7-a374-ddac51cde81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lcf76f155ced4ddcb4097134ff3c332f" minOccurs="0"/>
                <xsd:element ref="ns2:TaxCatchAll" minOccurs="0"/>
                <xsd:element ref="ns3:MediaServiceSearchProperties" minOccurs="0"/>
                <xsd:element ref="ns3:MediaServiceObjectDetectorVersions" minOccurs="0"/>
                <xsd:element ref="ns3:Purpos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7ab6801-0c2f-4efe-b1cd-807f9fa7d761"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74e7f485-5e05-405d-9eee-26f7cac73d94}" ma:internalName="TaxCatchAll" ma:showField="CatchAllData" ma:web="87ab6801-0c2f-4efe-b1cd-807f9fa7d761">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af8d7b6-483a-4ed7-a374-ddac51cde81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43a13f5b-c16d-449c-bc00-2c7a28d6e348" ma:termSetId="09814cd3-568e-fe90-9814-8d621ff8fb84" ma:anchorId="fba54fb3-c3e1-fe81-a776-ca4b69148c4d" ma:open="true" ma:isKeyword="false">
      <xsd:complexType>
        <xsd:sequence>
          <xsd:element ref="pc:Terms" minOccurs="0" maxOccurs="1"/>
        </xsd:sequence>
      </xsd:complex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Purpose" ma:index="24" nillable="true" ma:displayName="Purpose" ma:format="Dropdown" ma:internalName="Purpos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87ab6801-0c2f-4efe-b1cd-807f9fa7d761" xsi:nil="true"/>
    <Purpose xmlns="2af8d7b6-483a-4ed7-a374-ddac51cde818" xsi:nil="true"/>
    <lcf76f155ced4ddcb4097134ff3c332f xmlns="2af8d7b6-483a-4ed7-a374-ddac51cde81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D1C76E99-22E1-4705-8DD1-569D18CF3F6A}"/>
</file>

<file path=customXml/itemProps3.xml><?xml version="1.0" encoding="utf-8"?>
<ds:datastoreItem xmlns:ds="http://schemas.openxmlformats.org/officeDocument/2006/customXml" ds:itemID="{F8450E75-4122-4C19-AF65-C7C8D929D193}"/>
</file>

<file path=customXml/itemProps4.xml><?xml version="1.0" encoding="utf-8"?>
<ds:datastoreItem xmlns:ds="http://schemas.openxmlformats.org/officeDocument/2006/customXml" ds:itemID="{435BB521-184F-4E71-A755-205BB1A6900A}"/>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0x010100028AC1A645EC7642BB1CAFC205964F13</vt:lpwstr>
  </property>
</Properties>
</file>