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TILLI SOFTWARE</w:t>
      </w:r>
    </w:p>
    <w:p>
      <w:pPr>
        <w:pStyle w:val="Heading1"/>
        <w:jc w:val="center"/>
      </w:pPr>
      <w:r>
        <w:t>AI CONTEXT &amp; STAKEHOLDER ANALYSIS</w:t>
      </w:r>
    </w:p>
    <w:p>
      <w:r>
        <w:t>Document ID: AIMS-CTX-001</w:t>
      </w:r>
    </w:p>
    <w:p>
      <w:r>
        <w:t>Version: 1.0</w:t>
      </w:r>
    </w:p>
    <w:p>
      <w:r>
        <w:t>Owner: AI Governance Lead</w:t>
      </w:r>
    </w:p>
    <w:p>
      <w:r>
        <w:t>Approved By: Board of Directors</w:t>
      </w:r>
    </w:p>
    <w:p>
      <w:r>
        <w:t>Effective Date: [Insert Date]</w:t>
      </w:r>
    </w:p>
    <w:p>
      <w:r>
        <w:t>Review Cycle: Annual</w:t>
      </w:r>
    </w:p>
    <w:p>
      <w:r>
        <w:t>Framework Alignment: ISO/IEC 42001:2023 Clauses 4.1 &amp; 4.2</w:t>
      </w:r>
    </w:p>
    <w:p>
      <w:r>
        <w:br w:type="page"/>
      </w:r>
    </w:p>
    <w:p>
      <w:pPr>
        <w:pStyle w:val="Heading2"/>
      </w:pPr>
      <w:r>
        <w:t>1. PURPOSE</w:t>
      </w:r>
    </w:p>
    <w:p>
      <w:r>
        <w:t>This document defines the internal and external context within which Tilli Software’s Artificial Intelligence Management System (AIMS) operates. It identifies relevant interested parties, their expectations, and factors that influence AI governance decisions.</w:t>
      </w:r>
    </w:p>
    <w:p>
      <w:pPr>
        <w:pStyle w:val="Heading2"/>
      </w:pPr>
      <w:r>
        <w:t>2. INTERNAL CONTEXT</w:t>
      </w:r>
    </w:p>
    <w:p>
      <w:pPr>
        <w:pStyle w:val="ListBullet"/>
      </w:pPr>
      <w:r>
        <w:t>Multi-product AI-enabled technology environment (tilliX, tilliPay, Nudge, Beacon, tilliArc, XDEX, Analytics platforms);</w:t>
      </w:r>
    </w:p>
    <w:p>
      <w:pPr>
        <w:pStyle w:val="ListBullet"/>
      </w:pPr>
      <w:r>
        <w:t>Combination of shared infrastructure and client-specific deployments;</w:t>
      </w:r>
    </w:p>
    <w:p>
      <w:pPr>
        <w:pStyle w:val="ListBullet"/>
      </w:pPr>
      <w:r>
        <w:t>Integration with ISO 27001 Information Security Management System (ISMS);</w:t>
      </w:r>
    </w:p>
    <w:p>
      <w:pPr>
        <w:pStyle w:val="ListBullet"/>
      </w:pPr>
      <w:r>
        <w:t>Use of internal AI systems (e.g., Jareis) and third-party AI providers;</w:t>
      </w:r>
    </w:p>
    <w:p>
      <w:pPr>
        <w:pStyle w:val="ListBullet"/>
      </w:pPr>
      <w:r>
        <w:t>Client contractual AI restriction requirements;</w:t>
      </w:r>
    </w:p>
    <w:p>
      <w:pPr>
        <w:pStyle w:val="ListBullet"/>
      </w:pPr>
      <w:r>
        <w:t>Financial and regulatory exposure related to AI-driven decision-making.</w:t>
      </w:r>
    </w:p>
    <w:p>
      <w:pPr>
        <w:pStyle w:val="Heading2"/>
      </w:pPr>
      <w:r>
        <w:t>3. EXTERNAL CONTEXT</w:t>
      </w:r>
    </w:p>
    <w:p>
      <w:pPr>
        <w:pStyle w:val="ListBullet"/>
      </w:pPr>
      <w:r>
        <w:t>Evolving global AI regulatory landscape (e.g., EU AI Act, sectoral regulations);</w:t>
      </w:r>
    </w:p>
    <w:p>
      <w:pPr>
        <w:pStyle w:val="ListBullet"/>
      </w:pPr>
      <w:r>
        <w:t>Data protection and privacy laws (e.g., GDPR and similar frameworks);</w:t>
      </w:r>
    </w:p>
    <w:p>
      <w:pPr>
        <w:pStyle w:val="ListBullet"/>
      </w:pPr>
      <w:r>
        <w:t>Industry expectations regarding ethical and responsible AI use;</w:t>
      </w:r>
    </w:p>
    <w:p>
      <w:pPr>
        <w:pStyle w:val="ListBullet"/>
      </w:pPr>
      <w:r>
        <w:t>Client contractual obligations regarding AI transparency and usage restrictions;</w:t>
      </w:r>
    </w:p>
    <w:p>
      <w:pPr>
        <w:pStyle w:val="ListBullet"/>
      </w:pPr>
      <w:r>
        <w:t>Market competitiveness and innovation pressure;</w:t>
      </w:r>
    </w:p>
    <w:p>
      <w:pPr>
        <w:pStyle w:val="ListBullet"/>
      </w:pPr>
      <w:r>
        <w:t>Emerging AI security threats and adversarial risks.</w:t>
      </w:r>
    </w:p>
    <w:p>
      <w:pPr>
        <w:pStyle w:val="Heading2"/>
      </w:pPr>
      <w:r>
        <w:t>4. INTERESTED PARTIES &amp; EXPECTATIONS</w:t>
      </w:r>
    </w:p>
    <w:tbl>
      <w:tblPr>
        <w:tblW w:type="auto" w:w="0"/>
        <w:jc w:val="center"/>
        <w:tblLook w:firstColumn="1" w:firstRow="1" w:lastColumn="0" w:lastRow="0" w:noHBand="0" w:noVBand="1" w:val="04A0"/>
      </w:tblPr>
      <w:tblGrid>
        <w:gridCol w:w="4320"/>
        <w:gridCol w:w="4320"/>
      </w:tblGrid>
      <w:tr>
        <w:tc>
          <w:tcPr>
            <w:tcW w:type="dxa" w:w="4320"/>
          </w:tcPr>
          <w:p>
            <w:r>
              <w:t>Interested Party</w:t>
            </w:r>
          </w:p>
        </w:tc>
        <w:tc>
          <w:tcPr>
            <w:tcW w:type="dxa" w:w="4320"/>
          </w:tcPr>
          <w:p>
            <w:r>
              <w:t>AI-Related Expectations / Requirements</w:t>
            </w:r>
          </w:p>
        </w:tc>
      </w:tr>
      <w:tr>
        <w:tc>
          <w:tcPr>
            <w:tcW w:type="dxa" w:w="4320"/>
          </w:tcPr>
          <w:p>
            <w:r>
              <w:t>Clients / Tenants</w:t>
            </w:r>
          </w:p>
        </w:tc>
        <w:tc>
          <w:tcPr>
            <w:tcW w:type="dxa" w:w="4320"/>
          </w:tcPr>
          <w:p>
            <w:r>
              <w:t>Secure, transparent AI usage; ability to request AI restriction; protection of sensitive data</w:t>
            </w:r>
          </w:p>
        </w:tc>
      </w:tr>
      <w:tr>
        <w:tc>
          <w:tcPr>
            <w:tcW w:type="dxa" w:w="4320"/>
          </w:tcPr>
          <w:p>
            <w:r>
              <w:t>Regulators</w:t>
            </w:r>
          </w:p>
        </w:tc>
        <w:tc>
          <w:tcPr>
            <w:tcW w:type="dxa" w:w="4320"/>
          </w:tcPr>
          <w:p>
            <w:r>
              <w:t>Compliance with applicable AI and data protection laws</w:t>
            </w:r>
          </w:p>
        </w:tc>
      </w:tr>
      <w:tr>
        <w:tc>
          <w:tcPr>
            <w:tcW w:type="dxa" w:w="4320"/>
          </w:tcPr>
          <w:p>
            <w:r>
              <w:t>Board of Directors</w:t>
            </w:r>
          </w:p>
        </w:tc>
        <w:tc>
          <w:tcPr>
            <w:tcW w:type="dxa" w:w="4320"/>
          </w:tcPr>
          <w:p>
            <w:r>
              <w:t>Effective risk oversight and governance controls</w:t>
            </w:r>
          </w:p>
        </w:tc>
      </w:tr>
      <w:tr>
        <w:tc>
          <w:tcPr>
            <w:tcW w:type="dxa" w:w="4320"/>
          </w:tcPr>
          <w:p>
            <w:r>
              <w:t>Employees</w:t>
            </w:r>
          </w:p>
        </w:tc>
        <w:tc>
          <w:tcPr>
            <w:tcW w:type="dxa" w:w="4320"/>
          </w:tcPr>
          <w:p>
            <w:r>
              <w:t>Clear guidance on responsible AI development and usage</w:t>
            </w:r>
          </w:p>
        </w:tc>
      </w:tr>
      <w:tr>
        <w:tc>
          <w:tcPr>
            <w:tcW w:type="dxa" w:w="4320"/>
          </w:tcPr>
          <w:p>
            <w:r>
              <w:t>End Users</w:t>
            </w:r>
          </w:p>
        </w:tc>
        <w:tc>
          <w:tcPr>
            <w:tcW w:type="dxa" w:w="4320"/>
          </w:tcPr>
          <w:p>
            <w:r>
              <w:t>Fair, unbiased, and reliable AI-driven functionality</w:t>
            </w:r>
          </w:p>
        </w:tc>
      </w:tr>
      <w:tr>
        <w:tc>
          <w:tcPr>
            <w:tcW w:type="dxa" w:w="4320"/>
          </w:tcPr>
          <w:p>
            <w:r>
              <w:t>Third-Party Vendors</w:t>
            </w:r>
          </w:p>
        </w:tc>
        <w:tc>
          <w:tcPr>
            <w:tcW w:type="dxa" w:w="4320"/>
          </w:tcPr>
          <w:p>
            <w:r>
              <w:t>Clear integration standards and compliance expectations</w:t>
            </w:r>
          </w:p>
        </w:tc>
      </w:tr>
    </w:tbl>
    <w:p>
      <w:pPr>
        <w:pStyle w:val="Heading2"/>
      </w:pPr>
      <w:r>
        <w:t>5. DETERMINATION OF AIMS SCOPE</w:t>
      </w:r>
    </w:p>
    <w:p>
      <w:r>
        <w:t>The Artificial Intelligence Management System (AIMS) applies to all AI-enabled systems developed, integrated, or deployed across Tilli Software products and client environments. AI-Restricted client deployments remain within governance scope but exclude AI feature activation.</w:t>
      </w:r>
    </w:p>
    <w:p>
      <w:pPr>
        <w:pStyle w:val="Heading2"/>
      </w:pPr>
      <w:r>
        <w:t>6. REVIEW &amp; UPDATE</w:t>
      </w:r>
    </w:p>
    <w:p>
      <w:r>
        <w:t>This Context &amp; Stakeholder Analysis shall be reviewed annually or upon significant regulatory, organizational, or technological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28AC1A645EC7642BB1CAFC205964F13" ma:contentTypeVersion="18" ma:contentTypeDescription="Create a new document." ma:contentTypeScope="" ma:versionID="5c3c4e6709d4eb6b5680942c2062fa31">
  <xsd:schema xmlns:xsd="http://www.w3.org/2001/XMLSchema" xmlns:xs="http://www.w3.org/2001/XMLSchema" xmlns:p="http://schemas.microsoft.com/office/2006/metadata/properties" xmlns:ns2="87ab6801-0c2f-4efe-b1cd-807f9fa7d761" xmlns:ns3="2af8d7b6-483a-4ed7-a374-ddac51cde818" targetNamespace="http://schemas.microsoft.com/office/2006/metadata/properties" ma:root="true" ma:fieldsID="008981f577a0f9f4458f21ab95c307f5" ns2:_="" ns3:_="">
    <xsd:import namespace="87ab6801-0c2f-4efe-b1cd-807f9fa7d761"/>
    <xsd:import namespace="2af8d7b6-483a-4ed7-a374-ddac51cde81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element ref="ns3:Purpo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ab6801-0c2f-4efe-b1cd-807f9fa7d76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4e7f485-5e05-405d-9eee-26f7cac73d94}" ma:internalName="TaxCatchAll" ma:showField="CatchAllData" ma:web="87ab6801-0c2f-4efe-b1cd-807f9fa7d76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f8d7b6-483a-4ed7-a374-ddac51cde8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3a13f5b-c16d-449c-bc00-2c7a28d6e348"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Purpose" ma:index="24" nillable="true" ma:displayName="Purpose" ma:format="Dropdown" ma:internalName="Purpo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7ab6801-0c2f-4efe-b1cd-807f9fa7d761" xsi:nil="true"/>
    <Purpose xmlns="2af8d7b6-483a-4ed7-a374-ddac51cde818" xsi:nil="true"/>
    <lcf76f155ced4ddcb4097134ff3c332f xmlns="2af8d7b6-483a-4ed7-a374-ddac51cde8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2D8718D-3A26-43DE-B32A-68325451B9BC}"/>
</file>

<file path=customXml/itemProps3.xml><?xml version="1.0" encoding="utf-8"?>
<ds:datastoreItem xmlns:ds="http://schemas.openxmlformats.org/officeDocument/2006/customXml" ds:itemID="{19BC7D1A-D3F0-4217-AB00-5A1BC1C9354E}"/>
</file>

<file path=customXml/itemProps4.xml><?xml version="1.0" encoding="utf-8"?>
<ds:datastoreItem xmlns:ds="http://schemas.openxmlformats.org/officeDocument/2006/customXml" ds:itemID="{F3A6E058-7899-49B6-A927-05640D870E0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0x010100028AC1A645EC7642BB1CAFC205964F13</vt:lpwstr>
  </property>
</Properties>
</file>