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TILLI SOFTWARE</w:t>
      </w:r>
    </w:p>
    <w:p>
      <w:pPr>
        <w:pStyle w:val="Heading1"/>
        <w:jc w:val="center"/>
      </w:pPr>
      <w:r>
        <w:t>CORRECTIVE &amp; PREVENTIVE ACTION (CAPA) PROCEDURE</w:t>
      </w:r>
    </w:p>
    <w:p>
      <w:r>
        <w:t>Document ID: AIMS-CAPA-001</w:t>
      </w:r>
    </w:p>
    <w:p>
      <w:r>
        <w:t>Version: 1.0</w:t>
      </w:r>
    </w:p>
    <w:p>
      <w:r>
        <w:t>Owner: AI Governance Lead</w:t>
      </w:r>
    </w:p>
    <w:p>
      <w:r>
        <w:t>Approved By: Board of Directors</w:t>
      </w:r>
    </w:p>
    <w:p>
      <w:r>
        <w:t>Effective Date: [Insert Date]</w:t>
      </w:r>
    </w:p>
    <w:p>
      <w:r>
        <w:t>Review Cycle: Annual</w:t>
      </w:r>
    </w:p>
    <w:p>
      <w:r>
        <w:t>Framework Alignment: ISO/IEC 42001:2023 Clause 10.1</w:t>
      </w:r>
    </w:p>
    <w:p>
      <w:r>
        <w:br w:type="page"/>
      </w:r>
    </w:p>
    <w:p>
      <w:pPr>
        <w:pStyle w:val="Heading2"/>
      </w:pPr>
      <w:r>
        <w:t>1. PURPOSE</w:t>
      </w:r>
    </w:p>
    <w:p>
      <w:r>
        <w:t>This Procedure defines the process for identifying, documenting, analyzing, correcting, and preventing nonconformities within Tilli Software’s Artificial Intelligence Management System (AIMS).</w:t>
      </w:r>
    </w:p>
    <w:p>
      <w:pPr>
        <w:pStyle w:val="Heading2"/>
      </w:pPr>
      <w:r>
        <w:t>2. SCOPE</w:t>
      </w:r>
    </w:p>
    <w:p>
      <w:r>
        <w:t>This procedure applies to all AI-related nonconformities, audit findings, control failures, policy violations, regulatory breaches, and material governance deviations.</w:t>
      </w:r>
    </w:p>
    <w:p>
      <w:pPr>
        <w:pStyle w:val="Heading2"/>
      </w:pPr>
      <w:r>
        <w:t>3. NONCONFORMITY IDENTIFICATION</w:t>
      </w:r>
    </w:p>
    <w:p>
      <w:pPr>
        <w:pStyle w:val="ListBullet"/>
      </w:pPr>
      <w:r>
        <w:t>Internal audit findings;</w:t>
      </w:r>
    </w:p>
    <w:p>
      <w:pPr>
        <w:pStyle w:val="ListBullet"/>
      </w:pPr>
      <w:r>
        <w:t>External audit observations;</w:t>
      </w:r>
    </w:p>
    <w:p>
      <w:pPr>
        <w:pStyle w:val="ListBullet"/>
      </w:pPr>
      <w:r>
        <w:t>AI incident investigations;</w:t>
      </w:r>
    </w:p>
    <w:p>
      <w:pPr>
        <w:pStyle w:val="ListBullet"/>
      </w:pPr>
      <w:r>
        <w:t>KPI threshold breaches;</w:t>
      </w:r>
    </w:p>
    <w:p>
      <w:pPr>
        <w:pStyle w:val="ListBullet"/>
      </w:pPr>
      <w:r>
        <w:t>Client complaints related to AI functionality;</w:t>
      </w:r>
    </w:p>
    <w:p>
      <w:pPr>
        <w:pStyle w:val="ListBullet"/>
      </w:pPr>
      <w:r>
        <w:t>Unauthorized AI activation in restricted environments;</w:t>
      </w:r>
    </w:p>
    <w:p>
      <w:pPr>
        <w:pStyle w:val="ListBullet"/>
      </w:pPr>
      <w:r>
        <w:t>Validation failures or monitoring breakdowns.</w:t>
      </w:r>
    </w:p>
    <w:p>
      <w:pPr>
        <w:pStyle w:val="Heading2"/>
      </w:pPr>
      <w:r>
        <w:t>4. CORRECTIVE ACTION PROCESS</w:t>
      </w:r>
    </w:p>
    <w:p>
      <w:pPr>
        <w:pStyle w:val="ListNumber"/>
      </w:pPr>
      <w:r>
        <w:t>Log nonconformity in designated tracking system (e.g., Jira);</w:t>
      </w:r>
    </w:p>
    <w:p>
      <w:pPr>
        <w:pStyle w:val="ListNumber"/>
      </w:pPr>
      <w:r>
        <w:t>Assign responsible owner;</w:t>
      </w:r>
    </w:p>
    <w:p>
      <w:pPr>
        <w:pStyle w:val="ListNumber"/>
      </w:pPr>
      <w:r>
        <w:t>Conduct root cause analysis (e.g., 5 Whys or equivalent methodology);</w:t>
      </w:r>
    </w:p>
    <w:p>
      <w:pPr>
        <w:pStyle w:val="ListNumber"/>
      </w:pPr>
      <w:r>
        <w:t>Define corrective action plan;</w:t>
      </w:r>
    </w:p>
    <w:p>
      <w:pPr>
        <w:pStyle w:val="ListNumber"/>
      </w:pPr>
      <w:r>
        <w:t>Implement corrective action;</w:t>
      </w:r>
    </w:p>
    <w:p>
      <w:pPr>
        <w:pStyle w:val="ListNumber"/>
      </w:pPr>
      <w:r>
        <w:t>Verify effectiveness of corrective action;</w:t>
      </w:r>
    </w:p>
    <w:p>
      <w:pPr>
        <w:pStyle w:val="ListNumber"/>
      </w:pPr>
      <w:r>
        <w:t>Document closure approval.</w:t>
      </w:r>
    </w:p>
    <w:p>
      <w:pPr>
        <w:pStyle w:val="Heading2"/>
      </w:pPr>
      <w:r>
        <w:t>5. PREVENTIVE ACTION</w:t>
      </w:r>
    </w:p>
    <w:p>
      <w:r>
        <w:t>Preventive actions shall be initiated when trend analysis, monitoring results, or governance reviews indicate emerging risk patterns.</w:t>
      </w:r>
    </w:p>
    <w:p>
      <w:r>
        <w:t>Preventive measures may include policy updates, control enhancements, additional training, or system redesign.</w:t>
      </w:r>
    </w:p>
    <w:p>
      <w:pPr>
        <w:pStyle w:val="Heading2"/>
      </w:pPr>
      <w:r>
        <w:t>6. ESCALATION</w:t>
      </w:r>
    </w:p>
    <w:p>
      <w:r>
        <w:t>Material nonconformities with regulatory, financial, or reputational impact shall be escalated to the AI Review Committee (ARC) and the Board of Directors.</w:t>
      </w:r>
    </w:p>
    <w:p>
      <w:pPr>
        <w:pStyle w:val="Heading2"/>
      </w:pPr>
      <w:r>
        <w:t>7. DOCUMENTATION &amp; RETENTION</w:t>
      </w:r>
    </w:p>
    <w:p>
      <w:r>
        <w:t>CAPA records, including root cause analysis documentation and verification evidence, shall be retained for a minimum of five (5) years in the approved governance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03075-6BF0-49D3-B4C9-68FFD617890F}"/>
</file>

<file path=customXml/itemProps3.xml><?xml version="1.0" encoding="utf-8"?>
<ds:datastoreItem xmlns:ds="http://schemas.openxmlformats.org/officeDocument/2006/customXml" ds:itemID="{7D1D8707-B2F0-4031-A9E5-D0FD9AA000CA}"/>
</file>

<file path=customXml/itemProps4.xml><?xml version="1.0" encoding="utf-8"?>
<ds:datastoreItem xmlns:ds="http://schemas.openxmlformats.org/officeDocument/2006/customXml" ds:itemID="{28DAA957-0D4E-4902-937F-BC67241974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0x010100028AC1A645EC7642BB1CAFC205964F13</vt:lpwstr>
  </property>
</Properties>
</file>