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TILLI SOFTWARE</w:t>
      </w:r>
    </w:p>
    <w:p>
      <w:pPr>
        <w:pStyle w:val="Heading1"/>
        <w:jc w:val="center"/>
      </w:pPr>
      <w:r>
        <w:t>AI GOVERNANCE OBJECTIVES &amp; KPI FRAMEWORK</w:t>
      </w:r>
    </w:p>
    <w:p>
      <w:r>
        <w:t>Document ID: AIMS-OBJ-001</w:t>
      </w:r>
    </w:p>
    <w:p>
      <w:r>
        <w:t>Version: 1.0</w:t>
      </w:r>
    </w:p>
    <w:p>
      <w:r>
        <w:t>Owner: AI Governance Lead</w:t>
      </w:r>
    </w:p>
    <w:p>
      <w:r>
        <w:t>Approved By: Board of Directors</w:t>
      </w:r>
    </w:p>
    <w:p>
      <w:r>
        <w:t>Effective Date: [Insert Date]</w:t>
      </w:r>
    </w:p>
    <w:p>
      <w:r>
        <w:t>Review Cycle: Annual</w:t>
      </w:r>
    </w:p>
    <w:p>
      <w:r>
        <w:t>Framework Alignment: ISO/IEC 42001:2023 Clause 6.2</w:t>
      </w:r>
    </w:p>
    <w:p>
      <w:r>
        <w:br w:type="page"/>
      </w:r>
    </w:p>
    <w:p>
      <w:pPr>
        <w:pStyle w:val="Heading2"/>
      </w:pPr>
      <w:r>
        <w:t>1. PURPOSE</w:t>
      </w:r>
    </w:p>
    <w:p>
      <w:r>
        <w:t>This document defines measurable Artificial Intelligence (AI) governance objectives and Key Performance Indicators (KPIs) for Tilli Software’s Artificial Intelligence Management System (AIMS). It ensures performance monitoring, accountability, and continual improvement in alignment with ISO/IEC 42001:2023.</w:t>
      </w:r>
    </w:p>
    <w:p>
      <w:pPr>
        <w:pStyle w:val="Heading2"/>
      </w:pPr>
      <w:r>
        <w:t>2. SCOPE</w:t>
      </w:r>
    </w:p>
    <w:p>
      <w:r>
        <w:t>This framework applies to all AI-enabled systems governed under Volume I (Policy) and Volume II (Procedures), including internally developed AI systems and third-party AI integrations.</w:t>
      </w:r>
    </w:p>
    <w:p>
      <w:pPr>
        <w:pStyle w:val="Heading2"/>
      </w:pPr>
      <w:r>
        <w:t>3. AI GOVERNANCE OBJECTIVES</w:t>
      </w:r>
    </w:p>
    <w:p>
      <w:pPr>
        <w:pStyle w:val="ListBullet"/>
      </w:pPr>
      <w:r>
        <w:t>Ensure all AI systems undergo formal risk classification prior to production deployment.</w:t>
      </w:r>
    </w:p>
    <w:p>
      <w:pPr>
        <w:pStyle w:val="ListBullet"/>
      </w:pPr>
      <w:r>
        <w:t>Ensure all Moderate and High-Risk AI systems complete documented validation prior to release.</w:t>
      </w:r>
    </w:p>
    <w:p>
      <w:pPr>
        <w:pStyle w:val="ListBullet"/>
      </w:pPr>
      <w:r>
        <w:t>Prevent unauthorized activation of AI functionality in AI-Restricted tenant environments.</w:t>
      </w:r>
    </w:p>
    <w:p>
      <w:pPr>
        <w:pStyle w:val="ListBullet"/>
      </w:pPr>
      <w:r>
        <w:t>Ensure timely identification, escalation, and resolution of AI-related incidents.</w:t>
      </w:r>
    </w:p>
    <w:p>
      <w:pPr>
        <w:pStyle w:val="ListBullet"/>
      </w:pPr>
      <w:r>
        <w:t>Maintain continuous monitoring of AI system performance and drift.</w:t>
      </w:r>
    </w:p>
    <w:p>
      <w:pPr>
        <w:pStyle w:val="ListBullet"/>
      </w:pPr>
      <w:r>
        <w:t>Ensure compliance with applicable regulatory and contractual AI obligations.</w:t>
      </w:r>
    </w:p>
    <w:p>
      <w:pPr>
        <w:pStyle w:val="Heading2"/>
      </w:pPr>
      <w:r>
        <w:t>4. KEY PERFORMANCE INDICATOR (KPI) MATRIX</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Objective</w:t>
            </w:r>
          </w:p>
        </w:tc>
        <w:tc>
          <w:tcPr>
            <w:tcW w:type="dxa" w:w="1728"/>
          </w:tcPr>
          <w:p>
            <w:r>
              <w:t>KPI Metric</w:t>
            </w:r>
          </w:p>
        </w:tc>
        <w:tc>
          <w:tcPr>
            <w:tcW w:type="dxa" w:w="1728"/>
          </w:tcPr>
          <w:p>
            <w:r>
              <w:t>Target Threshold</w:t>
            </w:r>
          </w:p>
        </w:tc>
        <w:tc>
          <w:tcPr>
            <w:tcW w:type="dxa" w:w="1728"/>
          </w:tcPr>
          <w:p>
            <w:r>
              <w:t>Measurement Frequency</w:t>
            </w:r>
          </w:p>
        </w:tc>
        <w:tc>
          <w:tcPr>
            <w:tcW w:type="dxa" w:w="1728"/>
          </w:tcPr>
          <w:p>
            <w:r>
              <w:t>Responsible Owner</w:t>
            </w:r>
          </w:p>
        </w:tc>
      </w:tr>
      <w:tr>
        <w:tc>
          <w:tcPr>
            <w:tcW w:type="dxa" w:w="1728"/>
          </w:tcPr>
          <w:p>
            <w:r>
              <w:t>Risk Classification Coverage</w:t>
            </w:r>
          </w:p>
        </w:tc>
        <w:tc>
          <w:tcPr>
            <w:tcW w:type="dxa" w:w="1728"/>
          </w:tcPr>
          <w:p>
            <w:r>
              <w:t>% of AI systems risk-classified before production</w:t>
            </w:r>
          </w:p>
        </w:tc>
        <w:tc>
          <w:tcPr>
            <w:tcW w:type="dxa" w:w="1728"/>
          </w:tcPr>
          <w:p>
            <w:r>
              <w:t>100%</w:t>
            </w:r>
          </w:p>
        </w:tc>
        <w:tc>
          <w:tcPr>
            <w:tcW w:type="dxa" w:w="1728"/>
          </w:tcPr>
          <w:p>
            <w:r>
              <w:t>Quarterly</w:t>
            </w:r>
          </w:p>
        </w:tc>
        <w:tc>
          <w:tcPr>
            <w:tcW w:type="dxa" w:w="1728"/>
          </w:tcPr>
          <w:p>
            <w:r>
              <w:t>AI Governance Lead</w:t>
            </w:r>
          </w:p>
        </w:tc>
      </w:tr>
      <w:tr>
        <w:tc>
          <w:tcPr>
            <w:tcW w:type="dxa" w:w="1728"/>
          </w:tcPr>
          <w:p>
            <w:r>
              <w:t>Validation Compliance</w:t>
            </w:r>
          </w:p>
        </w:tc>
        <w:tc>
          <w:tcPr>
            <w:tcW w:type="dxa" w:w="1728"/>
          </w:tcPr>
          <w:p>
            <w:r>
              <w:t>% of Moderate/High-Risk systems independently validated</w:t>
            </w:r>
          </w:p>
        </w:tc>
        <w:tc>
          <w:tcPr>
            <w:tcW w:type="dxa" w:w="1728"/>
          </w:tcPr>
          <w:p>
            <w:r>
              <w:t>100%</w:t>
            </w:r>
          </w:p>
        </w:tc>
        <w:tc>
          <w:tcPr>
            <w:tcW w:type="dxa" w:w="1728"/>
          </w:tcPr>
          <w:p>
            <w:r>
              <w:t>Quarterly</w:t>
            </w:r>
          </w:p>
        </w:tc>
        <w:tc>
          <w:tcPr>
            <w:tcW w:type="dxa" w:w="1728"/>
          </w:tcPr>
          <w:p>
            <w:r>
              <w:t>Engineering Lead</w:t>
            </w:r>
          </w:p>
        </w:tc>
      </w:tr>
      <w:tr>
        <w:tc>
          <w:tcPr>
            <w:tcW w:type="dxa" w:w="1728"/>
          </w:tcPr>
          <w:p>
            <w:r>
              <w:t>AI-Restricted Enforcement</w:t>
            </w:r>
          </w:p>
        </w:tc>
        <w:tc>
          <w:tcPr>
            <w:tcW w:type="dxa" w:w="1728"/>
          </w:tcPr>
          <w:p>
            <w:r>
              <w:t>Unauthorized AI activations in restricted tenants</w:t>
            </w:r>
          </w:p>
        </w:tc>
        <w:tc>
          <w:tcPr>
            <w:tcW w:type="dxa" w:w="1728"/>
          </w:tcPr>
          <w:p>
            <w:r>
              <w:t>0 incidents</w:t>
            </w:r>
          </w:p>
        </w:tc>
        <w:tc>
          <w:tcPr>
            <w:tcW w:type="dxa" w:w="1728"/>
          </w:tcPr>
          <w:p>
            <w:r>
              <w:t>Quarterly</w:t>
            </w:r>
          </w:p>
        </w:tc>
        <w:tc>
          <w:tcPr>
            <w:tcW w:type="dxa" w:w="1728"/>
          </w:tcPr>
          <w:p>
            <w:r>
              <w:t>Engineering Lead</w:t>
            </w:r>
          </w:p>
        </w:tc>
      </w:tr>
      <w:tr>
        <w:tc>
          <w:tcPr>
            <w:tcW w:type="dxa" w:w="1728"/>
          </w:tcPr>
          <w:p>
            <w:r>
              <w:t>Incident Response Timeliness</w:t>
            </w:r>
          </w:p>
        </w:tc>
        <w:tc>
          <w:tcPr>
            <w:tcW w:type="dxa" w:w="1728"/>
          </w:tcPr>
          <w:p>
            <w:r>
              <w:t>% of AI incidents escalated within 24 hours</w:t>
            </w:r>
          </w:p>
        </w:tc>
        <w:tc>
          <w:tcPr>
            <w:tcW w:type="dxa" w:w="1728"/>
          </w:tcPr>
          <w:p>
            <w:r>
              <w:t>&gt;= 95%</w:t>
            </w:r>
          </w:p>
        </w:tc>
        <w:tc>
          <w:tcPr>
            <w:tcW w:type="dxa" w:w="1728"/>
          </w:tcPr>
          <w:p>
            <w:r>
              <w:t>Quarterly</w:t>
            </w:r>
          </w:p>
        </w:tc>
        <w:tc>
          <w:tcPr>
            <w:tcW w:type="dxa" w:w="1728"/>
          </w:tcPr>
          <w:p>
            <w:r>
              <w:t>Security Team</w:t>
            </w:r>
          </w:p>
        </w:tc>
      </w:tr>
      <w:tr>
        <w:tc>
          <w:tcPr>
            <w:tcW w:type="dxa" w:w="1728"/>
          </w:tcPr>
          <w:p>
            <w:r>
              <w:t>Monitoring Coverage</w:t>
            </w:r>
          </w:p>
        </w:tc>
        <w:tc>
          <w:tcPr>
            <w:tcW w:type="dxa" w:w="1728"/>
          </w:tcPr>
          <w:p>
            <w:r>
              <w:t>% of AI systems with active monitoring dashboards</w:t>
            </w:r>
          </w:p>
        </w:tc>
        <w:tc>
          <w:tcPr>
            <w:tcW w:type="dxa" w:w="1728"/>
          </w:tcPr>
          <w:p>
            <w:r>
              <w:t>100%</w:t>
            </w:r>
          </w:p>
        </w:tc>
        <w:tc>
          <w:tcPr>
            <w:tcW w:type="dxa" w:w="1728"/>
          </w:tcPr>
          <w:p>
            <w:r>
              <w:t>Biannual</w:t>
            </w:r>
          </w:p>
        </w:tc>
        <w:tc>
          <w:tcPr>
            <w:tcW w:type="dxa" w:w="1728"/>
          </w:tcPr>
          <w:p>
            <w:r>
              <w:t>Engineering Lead</w:t>
            </w:r>
          </w:p>
        </w:tc>
      </w:tr>
      <w:tr>
        <w:tc>
          <w:tcPr>
            <w:tcW w:type="dxa" w:w="1728"/>
          </w:tcPr>
          <w:p>
            <w:r>
              <w:t>Training Compliance</w:t>
            </w:r>
          </w:p>
        </w:tc>
        <w:tc>
          <w:tcPr>
            <w:tcW w:type="dxa" w:w="1728"/>
          </w:tcPr>
          <w:p>
            <w:r>
              <w:t>% of AI contributors completing annual attestation/training</w:t>
            </w:r>
          </w:p>
        </w:tc>
        <w:tc>
          <w:tcPr>
            <w:tcW w:type="dxa" w:w="1728"/>
          </w:tcPr>
          <w:p>
            <w:r>
              <w:t>100%</w:t>
            </w:r>
          </w:p>
        </w:tc>
        <w:tc>
          <w:tcPr>
            <w:tcW w:type="dxa" w:w="1728"/>
          </w:tcPr>
          <w:p>
            <w:r>
              <w:t>Annual</w:t>
            </w:r>
          </w:p>
        </w:tc>
        <w:tc>
          <w:tcPr>
            <w:tcW w:type="dxa" w:w="1728"/>
          </w:tcPr>
          <w:p>
            <w:r>
              <w:t>Compliance</w:t>
            </w:r>
          </w:p>
        </w:tc>
      </w:tr>
    </w:tbl>
    <w:p>
      <w:pPr>
        <w:pStyle w:val="Heading2"/>
      </w:pPr>
      <w:r>
        <w:t>5. PERFORMANCE MONITORING &amp; REPORTING</w:t>
      </w:r>
    </w:p>
    <w:p>
      <w:r>
        <w:t>KPI performance shall be reviewed during Quarterly AI Governance Report presentations to the AI Review Committee (ARC) and executive leadership.</w:t>
      </w:r>
    </w:p>
    <w:p>
      <w:r>
        <w:t>Failure to meet defined thresholds shall trigger corrective action workflows under AIMS-CAPA-001.</w:t>
      </w:r>
    </w:p>
    <w:p>
      <w:pPr>
        <w:pStyle w:val="Heading2"/>
      </w:pPr>
      <w:r>
        <w:t>6. CONTINUAL IMPROVEMENT</w:t>
      </w:r>
    </w:p>
    <w:p>
      <w:r>
        <w:t>AI governance objectives and KPIs shall be reviewed annually or upon material regulatory, operational, or technological change. Adjustments shall be documented and approved by the ARC.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28AC1A645EC7642BB1CAFC205964F13" ma:contentTypeVersion="18" ma:contentTypeDescription="Create a new document." ma:contentTypeScope="" ma:versionID="5c3c4e6709d4eb6b5680942c2062fa31">
  <xsd:schema xmlns:xsd="http://www.w3.org/2001/XMLSchema" xmlns:xs="http://www.w3.org/2001/XMLSchema" xmlns:p="http://schemas.microsoft.com/office/2006/metadata/properties" xmlns:ns2="87ab6801-0c2f-4efe-b1cd-807f9fa7d761" xmlns:ns3="2af8d7b6-483a-4ed7-a374-ddac51cde818" targetNamespace="http://schemas.microsoft.com/office/2006/metadata/properties" ma:root="true" ma:fieldsID="008981f577a0f9f4458f21ab95c307f5" ns2:_="" ns3:_="">
    <xsd:import namespace="87ab6801-0c2f-4efe-b1cd-807f9fa7d761"/>
    <xsd:import namespace="2af8d7b6-483a-4ed7-a374-ddac51cde81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ab6801-0c2f-4efe-b1cd-807f9fa7d7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4e7f485-5e05-405d-9eee-26f7cac73d94}" ma:internalName="TaxCatchAll" ma:showField="CatchAllData" ma:web="87ab6801-0c2f-4efe-b1cd-807f9fa7d7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f8d7b6-483a-4ed7-a374-ddac51cde8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3a13f5b-c16d-449c-bc00-2c7a28d6e34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Purpose" ma:index="24" nillable="true" ma:displayName="Purpose" ma:format="Dropdown" ma:internalName="Purpo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ab6801-0c2f-4efe-b1cd-807f9fa7d761" xsi:nil="true"/>
    <Purpose xmlns="2af8d7b6-483a-4ed7-a374-ddac51cde818" xsi:nil="true"/>
    <lcf76f155ced4ddcb4097134ff3c332f xmlns="2af8d7b6-483a-4ed7-a374-ddac51cde8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F4A2D9F-F3BD-4DB9-A9E4-710C3F127B93}"/>
</file>

<file path=customXml/itemProps3.xml><?xml version="1.0" encoding="utf-8"?>
<ds:datastoreItem xmlns:ds="http://schemas.openxmlformats.org/officeDocument/2006/customXml" ds:itemID="{938CA9AB-710C-42DE-8E26-EC8C790430B6}"/>
</file>

<file path=customXml/itemProps4.xml><?xml version="1.0" encoding="utf-8"?>
<ds:datastoreItem xmlns:ds="http://schemas.openxmlformats.org/officeDocument/2006/customXml" ds:itemID="{B8B2FDA1-BE55-42E7-B114-C751DA63D24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0x010100028AC1A645EC7642BB1CAFC205964F13</vt:lpwstr>
  </property>
</Properties>
</file>