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TILLI SOFTWARE</w:t>
      </w:r>
    </w:p>
    <w:p>
      <w:pPr>
        <w:pStyle w:val="Heading1"/>
        <w:jc w:val="center"/>
      </w:pPr>
      <w:r>
        <w:t>AI MANAGEMENT REVIEW PROCEDURE</w:t>
      </w:r>
    </w:p>
    <w:p>
      <w:r>
        <w:t>Document ID: AIMS-MR-001</w:t>
      </w:r>
    </w:p>
    <w:p>
      <w:r>
        <w:t>Version: 1.0</w:t>
      </w:r>
    </w:p>
    <w:p>
      <w:r>
        <w:t>Owner: AI Governance Lead</w:t>
      </w:r>
    </w:p>
    <w:p>
      <w:r>
        <w:t>Approved By: Board of Directors</w:t>
      </w:r>
    </w:p>
    <w:p>
      <w:r>
        <w:t>Effective Date: [Insert Date]</w:t>
      </w:r>
    </w:p>
    <w:p>
      <w:r>
        <w:t>Review Cycle: Annual (with Quarterly Operational Reviews)</w:t>
      </w:r>
    </w:p>
    <w:p>
      <w:r>
        <w:t>Framework Alignment: ISO/IEC 42001:2023 Clause 9.3</w:t>
      </w:r>
    </w:p>
    <w:p>
      <w:r>
        <w:br w:type="page"/>
      </w:r>
    </w:p>
    <w:p>
      <w:pPr>
        <w:pStyle w:val="Heading2"/>
      </w:pPr>
      <w:r>
        <w:t>1. PURPOSE</w:t>
      </w:r>
    </w:p>
    <w:p>
      <w:r>
        <w:t>This Procedure defines the formal management review process for Tilli Software’s Artificial Intelligence Management System (AIMS). It ensures executive oversight, strategic alignment, risk visibility, and continual improvement in accordance with ISO/IEC 42001:2023.</w:t>
      </w:r>
    </w:p>
    <w:p>
      <w:pPr>
        <w:pStyle w:val="Heading2"/>
      </w:pPr>
      <w:r>
        <w:t>2. SCOPE</w:t>
      </w:r>
    </w:p>
    <w:p>
      <w:r>
        <w:t>This procedure applies to executive leadership, the AI Review Committee (ARC), and the Board of Directors in their oversight of AI governance performance.</w:t>
      </w:r>
    </w:p>
    <w:p>
      <w:pPr>
        <w:pStyle w:val="Heading2"/>
      </w:pPr>
      <w:r>
        <w:t>3. REVIEW FREQUENCY</w:t>
      </w:r>
    </w:p>
    <w:p>
      <w:r>
        <w:t>Formal Management Review shall occur at least annually. Operational AI governance performance shall be reviewed quarterly through the Quarterly AI Governance Report.</w:t>
      </w:r>
    </w:p>
    <w:p>
      <w:pPr>
        <w:pStyle w:val="Heading2"/>
      </w:pPr>
      <w:r>
        <w:t>4. MANAGEMENT REVIEW INPUTS</w:t>
      </w:r>
    </w:p>
    <w:p>
      <w:pPr>
        <w:pStyle w:val="ListBullet"/>
      </w:pPr>
      <w:r>
        <w:t>Status of actions from previous management reviews;</w:t>
      </w:r>
    </w:p>
    <w:p>
      <w:pPr>
        <w:pStyle w:val="ListBullet"/>
      </w:pPr>
      <w:r>
        <w:t>Changes in internal and external context (AIMS-CTX-001);</w:t>
      </w:r>
    </w:p>
    <w:p>
      <w:pPr>
        <w:pStyle w:val="ListBullet"/>
      </w:pPr>
      <w:r>
        <w:t>AI Risk Register summary and risk posture trends;</w:t>
      </w:r>
    </w:p>
    <w:p>
      <w:pPr>
        <w:pStyle w:val="ListBullet"/>
      </w:pPr>
      <w:r>
        <w:t>Validation compliance metrics;</w:t>
      </w:r>
    </w:p>
    <w:p>
      <w:pPr>
        <w:pStyle w:val="ListBullet"/>
      </w:pPr>
      <w:r>
        <w:t>Incident trends and corrective action status;</w:t>
      </w:r>
    </w:p>
    <w:p>
      <w:pPr>
        <w:pStyle w:val="ListBullet"/>
      </w:pPr>
      <w:r>
        <w:t>KPI performance results (AIMS-OBJ-001);</w:t>
      </w:r>
    </w:p>
    <w:p>
      <w:pPr>
        <w:pStyle w:val="ListBullet"/>
      </w:pPr>
      <w:r>
        <w:t>Audit findings and remediation progress;</w:t>
      </w:r>
    </w:p>
    <w:p>
      <w:pPr>
        <w:pStyle w:val="ListBullet"/>
      </w:pPr>
      <w:r>
        <w:t>Regulatory or contractual developments impacting AI systems;</w:t>
      </w:r>
    </w:p>
    <w:p>
      <w:pPr>
        <w:pStyle w:val="ListBullet"/>
      </w:pPr>
      <w:r>
        <w:t>AI-Restricted tenant compliance verification results.</w:t>
      </w:r>
    </w:p>
    <w:p>
      <w:pPr>
        <w:pStyle w:val="Heading2"/>
      </w:pPr>
      <w:r>
        <w:t>5. MANAGEMENT REVIEW OUTPUTS</w:t>
      </w:r>
    </w:p>
    <w:p>
      <w:pPr>
        <w:pStyle w:val="ListBullet"/>
      </w:pPr>
      <w:r>
        <w:t>Decisions regarding AI governance improvements;</w:t>
      </w:r>
    </w:p>
    <w:p>
      <w:pPr>
        <w:pStyle w:val="ListBullet"/>
      </w:pPr>
      <w:r>
        <w:t>Resource allocation decisions;</w:t>
      </w:r>
    </w:p>
    <w:p>
      <w:pPr>
        <w:pStyle w:val="ListBullet"/>
      </w:pPr>
      <w:r>
        <w:t>Risk acceptance or escalation determinations;</w:t>
      </w:r>
    </w:p>
    <w:p>
      <w:pPr>
        <w:pStyle w:val="ListBullet"/>
      </w:pPr>
      <w:r>
        <w:t>Approval of policy or procedural updates;</w:t>
      </w:r>
    </w:p>
    <w:p>
      <w:pPr>
        <w:pStyle w:val="ListBullet"/>
      </w:pPr>
      <w:r>
        <w:t>Initiation of corrective or preventive actions;</w:t>
      </w:r>
    </w:p>
    <w:p>
      <w:pPr>
        <w:pStyle w:val="ListBullet"/>
      </w:pPr>
      <w:r>
        <w:t>Strategic AI risk posture adjustments.</w:t>
      </w:r>
    </w:p>
    <w:p>
      <w:pPr>
        <w:pStyle w:val="Heading2"/>
      </w:pPr>
      <w:r>
        <w:t>6. DOCUMENTATION &amp; RECORDKEEPING</w:t>
      </w:r>
    </w:p>
    <w:p>
      <w:r>
        <w:t>Management Review minutes shall be documented, approved, and retained in SharePoint. Action items shall be tracked to completion through designated governance workflows.</w:t>
      </w:r>
    </w:p>
    <w:p>
      <w:r>
        <w:t>Records shall be retained for a minimum of seven (7) years.</w:t>
      </w:r>
    </w:p>
    <w:p>
      <w:pPr>
        <w:pStyle w:val="Heading2"/>
      </w:pPr>
      <w:r>
        <w:t>7. ESCALATION &amp; BOARD REPORTING</w:t>
      </w:r>
    </w:p>
    <w:p>
      <w:r>
        <w:t>Material AI risks, regulatory exposure, or governance failures identified during Management Review shall be escalated to the Board of Directors.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028AC1A645EC7642BB1CAFC205964F13" ma:contentTypeVersion="18" ma:contentTypeDescription="Create a new document." ma:contentTypeScope="" ma:versionID="5c3c4e6709d4eb6b5680942c2062fa31">
  <xsd:schema xmlns:xsd="http://www.w3.org/2001/XMLSchema" xmlns:xs="http://www.w3.org/2001/XMLSchema" xmlns:p="http://schemas.microsoft.com/office/2006/metadata/properties" xmlns:ns2="87ab6801-0c2f-4efe-b1cd-807f9fa7d761" xmlns:ns3="2af8d7b6-483a-4ed7-a374-ddac51cde818" targetNamespace="http://schemas.microsoft.com/office/2006/metadata/properties" ma:root="true" ma:fieldsID="008981f577a0f9f4458f21ab95c307f5" ns2:_="" ns3:_="">
    <xsd:import namespace="87ab6801-0c2f-4efe-b1cd-807f9fa7d761"/>
    <xsd:import namespace="2af8d7b6-483a-4ed7-a374-ddac51cde81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lcf76f155ced4ddcb4097134ff3c332f" minOccurs="0"/>
                <xsd:element ref="ns2:TaxCatchAll" minOccurs="0"/>
                <xsd:element ref="ns3:MediaServiceSearchProperties" minOccurs="0"/>
                <xsd:element ref="ns3:MediaServiceObjectDetectorVersions" minOccurs="0"/>
                <xsd:element ref="ns3:Purpos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ab6801-0c2f-4efe-b1cd-807f9fa7d761"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74e7f485-5e05-405d-9eee-26f7cac73d94}" ma:internalName="TaxCatchAll" ma:showField="CatchAllData" ma:web="87ab6801-0c2f-4efe-b1cd-807f9fa7d761">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af8d7b6-483a-4ed7-a374-ddac51cde81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43a13f5b-c16d-449c-bc00-2c7a28d6e348" ma:termSetId="09814cd3-568e-fe90-9814-8d621ff8fb84" ma:anchorId="fba54fb3-c3e1-fe81-a776-ca4b69148c4d" ma:open="true" ma:isKeyword="false">
      <xsd:complexType>
        <xsd:sequence>
          <xsd:element ref="pc:Terms" minOccurs="0" maxOccurs="1"/>
        </xsd:sequence>
      </xsd:complex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Purpose" ma:index="24" nillable="true" ma:displayName="Purpose" ma:format="Dropdown" ma:internalName="Purpos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87ab6801-0c2f-4efe-b1cd-807f9fa7d761" xsi:nil="true"/>
    <Purpose xmlns="2af8d7b6-483a-4ed7-a374-ddac51cde818" xsi:nil="true"/>
    <lcf76f155ced4ddcb4097134ff3c332f xmlns="2af8d7b6-483a-4ed7-a374-ddac51cde81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99AD0243-ADAD-48A1-88C8-8787EB84218D}"/>
</file>

<file path=customXml/itemProps3.xml><?xml version="1.0" encoding="utf-8"?>
<ds:datastoreItem xmlns:ds="http://schemas.openxmlformats.org/officeDocument/2006/customXml" ds:itemID="{EEA8E21B-6CDB-4805-952C-AF74A94A524E}"/>
</file>

<file path=customXml/itemProps4.xml><?xml version="1.0" encoding="utf-8"?>
<ds:datastoreItem xmlns:ds="http://schemas.openxmlformats.org/officeDocument/2006/customXml" ds:itemID="{F9C52127-A943-4EBF-81AF-46E0D8E39261}"/>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0x010100028AC1A645EC7642BB1CAFC205964F13</vt:lpwstr>
  </property>
</Properties>
</file>