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TILLI SOFTWARE</w:t>
      </w:r>
    </w:p>
    <w:p>
      <w:pPr>
        <w:pStyle w:val="Heading1"/>
        <w:jc w:val="center"/>
      </w:pPr>
      <w:r>
        <w:t>AI RISK ASSESSMENT METHODOLOGY STANDARD</w:t>
      </w:r>
    </w:p>
    <w:p>
      <w:r>
        <w:t>Document ID: AIMS-RM-001</w:t>
      </w:r>
    </w:p>
    <w:p>
      <w:r>
        <w:t>Version: 1.0</w:t>
      </w:r>
    </w:p>
    <w:p>
      <w:r>
        <w:t>Owner: AI Governance Lead</w:t>
      </w:r>
    </w:p>
    <w:p>
      <w:r>
        <w:t>Approved By: Board of Directors</w:t>
      </w:r>
    </w:p>
    <w:p>
      <w:r>
        <w:t>Effective Date: [Insert Date]</w:t>
      </w:r>
    </w:p>
    <w:p>
      <w:r>
        <w:t>Review Cycle: Annual</w:t>
      </w:r>
    </w:p>
    <w:p>
      <w:r>
        <w:t>Framework Alignment: ISO/IEC 42001:2023 Clause 6.1</w:t>
      </w:r>
    </w:p>
    <w:p>
      <w:r>
        <w:br w:type="page"/>
      </w:r>
    </w:p>
    <w:p>
      <w:pPr>
        <w:pStyle w:val="Heading2"/>
      </w:pPr>
      <w:r>
        <w:t>1. PURPOSE</w:t>
      </w:r>
    </w:p>
    <w:p>
      <w:r>
        <w:t>This Standard defines the formal methodology for identifying, analyzing, evaluating, treating, and monitoring risks associated with Artificial Intelligence (AI) systems deployed by Tilli Software. It establishes a consistent and auditable risk assessment framework aligned with ISO/IEC 42001:2023.</w:t>
      </w:r>
    </w:p>
    <w:p>
      <w:pPr>
        <w:pStyle w:val="Heading2"/>
      </w:pPr>
      <w:r>
        <w:t>2. SCOPE</w:t>
      </w:r>
    </w:p>
    <w:p>
      <w:r>
        <w:t>This methodology applies to all AI-enabled systems across development, staging, and production environments, including internally developed models, third-party AI integrations, and client-specific deployments.</w:t>
      </w:r>
    </w:p>
    <w:p>
      <w:pPr>
        <w:pStyle w:val="Heading2"/>
      </w:pPr>
      <w:r>
        <w:t>3. RISK IDENTIFICATION</w:t>
      </w:r>
    </w:p>
    <w:p>
      <w:r>
        <w:t>Risk identification shall occur during AI intake and be updated during change management and periodic review.</w:t>
      </w:r>
    </w:p>
    <w:p>
      <w:r>
        <w:t>Risk categories include, but are not limited to:</w:t>
      </w:r>
    </w:p>
    <w:p>
      <w:pPr>
        <w:pStyle w:val="ListBullet"/>
      </w:pPr>
      <w:r>
        <w:t>Model hallucination or inaccurate outputs</w:t>
      </w:r>
    </w:p>
    <w:p>
      <w:pPr>
        <w:pStyle w:val="ListBullet"/>
      </w:pPr>
      <w:r>
        <w:t>Bias and discriminatory outcomes</w:t>
      </w:r>
    </w:p>
    <w:p>
      <w:pPr>
        <w:pStyle w:val="ListBullet"/>
      </w:pPr>
      <w:r>
        <w:t>Data leakage or privacy violations</w:t>
      </w:r>
    </w:p>
    <w:p>
      <w:pPr>
        <w:pStyle w:val="ListBullet"/>
      </w:pPr>
      <w:r>
        <w:t>Prompt injection or adversarial manipulation</w:t>
      </w:r>
    </w:p>
    <w:p>
      <w:pPr>
        <w:pStyle w:val="ListBullet"/>
      </w:pPr>
      <w:r>
        <w:t>Model drift</w:t>
      </w:r>
    </w:p>
    <w:p>
      <w:pPr>
        <w:pStyle w:val="ListBullet"/>
      </w:pPr>
      <w:r>
        <w:t>Regulatory non-compliance</w:t>
      </w:r>
    </w:p>
    <w:p>
      <w:pPr>
        <w:pStyle w:val="ListBullet"/>
      </w:pPr>
      <w:r>
        <w:t>Security vulnerabilities</w:t>
      </w:r>
    </w:p>
    <w:p>
      <w:pPr>
        <w:pStyle w:val="ListBullet"/>
      </w:pPr>
      <w:r>
        <w:t>Operational disruption</w:t>
      </w:r>
    </w:p>
    <w:p>
      <w:pPr>
        <w:pStyle w:val="ListBullet"/>
      </w:pPr>
      <w:r>
        <w:t>Unauthorized AI activation in restricted tenants</w:t>
      </w:r>
    </w:p>
    <w:p>
      <w:pPr>
        <w:pStyle w:val="Heading2"/>
      </w:pPr>
      <w:r>
        <w:t>4. LIKELIHOOD SCALE</w:t>
      </w:r>
    </w:p>
    <w:p>
      <w:r>
        <w:t>Likelihood shall be scored using the following scale: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Rare – Highly unlikely to occur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Unlikely – Could occur under limited conditions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Possible – Has occurred in industry or organization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Likely – Expected to occur periodically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Almost Certain – Frequent or recurring occurrence</w:t>
            </w:r>
          </w:p>
        </w:tc>
      </w:tr>
    </w:tbl>
    <w:p>
      <w:pPr>
        <w:pStyle w:val="Heading2"/>
      </w:pPr>
      <w:r>
        <w:t>5. IMPACT SCALE</w:t>
      </w:r>
    </w:p>
    <w:p>
      <w:r>
        <w:t>Impact shall be scored across financial, regulatory, operational, and reputational dimensions.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Negligible – No material impact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Minor – Limited customer or operational effect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Moderate – Customer impact or limited regulatory exposure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Major – Significant financial or regulatory impact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Severe – Material regulatory breach or systemic impact</w:t>
            </w:r>
          </w:p>
        </w:tc>
      </w:tr>
    </w:tbl>
    <w:p>
      <w:pPr>
        <w:pStyle w:val="Heading2"/>
      </w:pPr>
      <w:r>
        <w:t>6. RISK SCORING METHODOLOGY</w:t>
      </w:r>
    </w:p>
    <w:p>
      <w:r>
        <w:t>Risk Score = Likelihood × Impact</w:t>
      </w:r>
    </w:p>
    <w:p>
      <w:r>
        <w:t>Scores shall range from 1 to 25. Risk classification thresholds: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Risk Classification</w:t>
            </w:r>
          </w:p>
        </w:tc>
      </w:tr>
      <w:tr>
        <w:tc>
          <w:tcPr>
            <w:tcW w:type="dxa" w:w="4320"/>
          </w:tcPr>
          <w:p>
            <w:r>
              <w:t>1–6</w:t>
            </w:r>
          </w:p>
        </w:tc>
        <w:tc>
          <w:tcPr>
            <w:tcW w:type="dxa" w:w="4320"/>
          </w:tcPr>
          <w:p>
            <w:r>
              <w:t>Low Risk</w:t>
            </w:r>
          </w:p>
        </w:tc>
      </w:tr>
      <w:tr>
        <w:tc>
          <w:tcPr>
            <w:tcW w:type="dxa" w:w="4320"/>
          </w:tcPr>
          <w:p>
            <w:r>
              <w:t>7–14</w:t>
            </w:r>
          </w:p>
        </w:tc>
        <w:tc>
          <w:tcPr>
            <w:tcW w:type="dxa" w:w="4320"/>
          </w:tcPr>
          <w:p>
            <w:r>
              <w:t>Moderate Risk</w:t>
            </w:r>
          </w:p>
        </w:tc>
      </w:tr>
      <w:tr>
        <w:tc>
          <w:tcPr>
            <w:tcW w:type="dxa" w:w="4320"/>
          </w:tcPr>
          <w:p>
            <w:r>
              <w:t>15–25</w:t>
            </w:r>
          </w:p>
        </w:tc>
        <w:tc>
          <w:tcPr>
            <w:tcW w:type="dxa" w:w="4320"/>
          </w:tcPr>
          <w:p>
            <w:r>
              <w:t>High Risk</w:t>
            </w:r>
          </w:p>
        </w:tc>
      </w:tr>
    </w:tbl>
    <w:p>
      <w:pPr>
        <w:pStyle w:val="Heading2"/>
      </w:pPr>
      <w:r>
        <w:t>7. RISK TREATMENT</w:t>
      </w:r>
    </w:p>
    <w:p>
      <w:r>
        <w:t>Risk treatment strategies include:</w:t>
      </w:r>
    </w:p>
    <w:p>
      <w:pPr>
        <w:pStyle w:val="ListBullet"/>
      </w:pPr>
      <w:r>
        <w:t>Mitigate – Implement control measures to reduce risk</w:t>
      </w:r>
    </w:p>
    <w:p>
      <w:pPr>
        <w:pStyle w:val="ListBullet"/>
      </w:pPr>
      <w:r>
        <w:t>Transfer – Contractual or insurance-based transfer</w:t>
      </w:r>
    </w:p>
    <w:p>
      <w:pPr>
        <w:pStyle w:val="ListBullet"/>
      </w:pPr>
      <w:r>
        <w:t>Avoid – Redesign or discontinue AI feature</w:t>
      </w:r>
    </w:p>
    <w:p>
      <w:pPr>
        <w:pStyle w:val="ListBullet"/>
      </w:pPr>
      <w:r>
        <w:t>Accept – Documented residual risk acceptance</w:t>
      </w:r>
    </w:p>
    <w:p>
      <w:r>
        <w:t>Residual risk for High-Risk AI systems must be formally approved by the AI Review Committee (ARC).</w:t>
      </w:r>
    </w:p>
    <w:p>
      <w:pPr>
        <w:pStyle w:val="Heading2"/>
      </w:pPr>
      <w:r>
        <w:t>8. RISK ACCEPTANCE AUTHORITY</w:t>
      </w:r>
    </w:p>
    <w:p>
      <w:r>
        <w:t>Low Risk – Engineering Lead approval</w:t>
      </w:r>
    </w:p>
    <w:p>
      <w:r>
        <w:t>Moderate Risk – AI Governance Lead approval</w:t>
      </w:r>
    </w:p>
    <w:p>
      <w:r>
        <w:t>High Risk – ARC approval</w:t>
      </w:r>
    </w:p>
    <w:p>
      <w:pPr>
        <w:pStyle w:val="Heading2"/>
      </w:pPr>
      <w:r>
        <w:t>9. RISK REVIEW FREQUENCY</w:t>
      </w:r>
    </w:p>
    <w:p>
      <w:r>
        <w:t>High-Risk AI Systems: Quarterly</w:t>
      </w:r>
    </w:p>
    <w:p>
      <w:r>
        <w:t>Moderate-Risk AI Systems: Biannual</w:t>
      </w:r>
    </w:p>
    <w:p>
      <w:r>
        <w:t>Low-Risk AI Systems: Annual</w:t>
      </w:r>
    </w:p>
    <w:p>
      <w:pPr>
        <w:pStyle w:val="Heading2"/>
      </w:pPr>
      <w:r>
        <w:t>10. DOCUMENTATION &amp; RECORDKEEPING</w:t>
      </w:r>
    </w:p>
    <w:p>
      <w:r>
        <w:t>All risk assessments, scoring worksheets, approval records, and residual risk acceptance documentation shall be stored in SharePoint under the AI Governance repository and retained for a minimum of five (5)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AC1A645EC7642BB1CAFC205964F13" ma:contentTypeVersion="18" ma:contentTypeDescription="Create a new document." ma:contentTypeScope="" ma:versionID="5c3c4e6709d4eb6b5680942c2062fa31">
  <xsd:schema xmlns:xsd="http://www.w3.org/2001/XMLSchema" xmlns:xs="http://www.w3.org/2001/XMLSchema" xmlns:p="http://schemas.microsoft.com/office/2006/metadata/properties" xmlns:ns2="87ab6801-0c2f-4efe-b1cd-807f9fa7d761" xmlns:ns3="2af8d7b6-483a-4ed7-a374-ddac51cde818" targetNamespace="http://schemas.microsoft.com/office/2006/metadata/properties" ma:root="true" ma:fieldsID="008981f577a0f9f4458f21ab95c307f5" ns2:_="" ns3:_="">
    <xsd:import namespace="87ab6801-0c2f-4efe-b1cd-807f9fa7d761"/>
    <xsd:import namespace="2af8d7b6-483a-4ed7-a374-ddac51cde81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Purpo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b6801-0c2f-4efe-b1cd-807f9fa7d7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4e7f485-5e05-405d-9eee-26f7cac73d94}" ma:internalName="TaxCatchAll" ma:showField="CatchAllData" ma:web="87ab6801-0c2f-4efe-b1cd-807f9fa7d7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8d7b6-483a-4ed7-a374-ddac51cde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3a13f5b-c16d-449c-bc00-2c7a28d6e3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urpose" ma:index="24" nillable="true" ma:displayName="Purpose" ma:format="Dropdown" ma:internalName="Purpo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ab6801-0c2f-4efe-b1cd-807f9fa7d761" xsi:nil="true"/>
    <Purpose xmlns="2af8d7b6-483a-4ed7-a374-ddac51cde818" xsi:nil="true"/>
    <lcf76f155ced4ddcb4097134ff3c332f xmlns="2af8d7b6-483a-4ed7-a374-ddac51cde8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01E4F6-ADE4-4B57-9FF7-9AF990C87B12}"/>
</file>

<file path=customXml/itemProps3.xml><?xml version="1.0" encoding="utf-8"?>
<ds:datastoreItem xmlns:ds="http://schemas.openxmlformats.org/officeDocument/2006/customXml" ds:itemID="{49D0A3DB-669C-4AF7-86E3-0A5AFF48E94E}"/>
</file>

<file path=customXml/itemProps4.xml><?xml version="1.0" encoding="utf-8"?>
<ds:datastoreItem xmlns:ds="http://schemas.openxmlformats.org/officeDocument/2006/customXml" ds:itemID="{2BD83260-A27C-4D24-859D-5607840ABB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0x010100028AC1A645EC7642BB1CAFC205964F13</vt:lpwstr>
  </property>
</Properties>
</file>