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TILLI SOFTWARE</w:t>
      </w:r>
    </w:p>
    <w:p>
      <w:pPr>
        <w:pStyle w:val="Heading1"/>
        <w:jc w:val="center"/>
      </w:pPr>
      <w:r>
        <w:t>ARTIFICIAL INTELLIGENCE GOVERNANCE PROCEDURE MANUAL</w:t>
      </w:r>
    </w:p>
    <w:p>
      <w:r>
        <w:t>Volume II — AI Governance Procedures</w:t>
      </w:r>
    </w:p>
    <w:p>
      <w:r>
        <w:t>Document ID: AIP-PR-001 (Consolidated)</w:t>
      </w:r>
    </w:p>
    <w:p>
      <w:r>
        <w:t>Version: 1.0</w:t>
      </w:r>
    </w:p>
    <w:p>
      <w:r>
        <w:t>Owner: CTO</w:t>
      </w:r>
    </w:p>
    <w:p>
      <w:r>
        <w:t>Applies To: Engineering, Product, Security, Compliance, Data, Operations</w:t>
      </w:r>
    </w:p>
    <w:p>
      <w:r>
        <w:t>Systems Referenced: GitHub, Jira, SharePoint, GitHub Actions, Datadog, AWS</w:t>
      </w:r>
    </w:p>
    <w:p>
      <w:r>
        <w:br w:type="page"/>
      </w:r>
    </w:p>
    <w:p>
      <w:pPr>
        <w:pStyle w:val="Heading1"/>
      </w:pPr>
      <w:r>
        <w:t>TABLE OF CONTENTS</w:t>
      </w:r>
    </w:p>
    <w:p>
      <w:fldSimple w:instr="TOC \o &quot;1-3&quot; \h \z \u">
        <w:r>
          <w:t>Right click → Update Field → Update entire table</w:t>
        </w:r>
      </w:fldSimple>
    </w:p>
    <w:p>
      <w:r>
        <w:br w:type="page"/>
      </w:r>
    </w:p>
    <w:p>
      <w:pPr>
        <w:pStyle w:val="Heading1"/>
      </w:pPr>
      <w:r>
        <w:t>PART A — PROCEDURAL FRAMEWORK</w:t>
      </w:r>
    </w:p>
    <w:p>
      <w:pPr>
        <w:pStyle w:val="Heading2"/>
      </w:pPr>
      <w:r>
        <w:t>1. PURPOSE</w:t>
      </w:r>
    </w:p>
    <w:p>
      <w:r>
        <w:t>This Procedure Manual operationalizes the Artificial Intelligence Governance Policy (Volume I) and defines the step-by-step lifecycle controls, workflows, approval mechanisms, monitoring requirements, incident response processes, and documentation standards governing all AI-enabled systems.</w:t>
      </w:r>
    </w:p>
    <w:p>
      <w:r>
        <w:t>This Manual ensures consistent execution of the Artificial Intelligence Management System (AIMS) across all applicable teams and environments.</w:t>
      </w:r>
    </w:p>
    <w:p>
      <w:pPr>
        <w:pStyle w:val="Heading2"/>
      </w:pPr>
      <w:r>
        <w:t>2. AI SYSTEM LIFECYCLE WORKFLOW</w:t>
      </w:r>
    </w:p>
    <w:p>
      <w:r>
        <w:t>All AI-enabled initiatives must follow the structured lifecycle defined below. No AI system may bypass any mandatory control stage.</w:t>
      </w:r>
    </w:p>
    <w:p>
      <w:pPr>
        <w:pStyle w:val="Heading3"/>
      </w:pPr>
      <w:r>
        <w:t>2.1 Stage 1 — AI Intake</w:t>
      </w:r>
    </w:p>
    <w:p>
      <w:r>
        <w:t>Trigger: Jira Epic labeled 'AI-INIT'.</w:t>
      </w:r>
    </w:p>
    <w:p>
      <w:r>
        <w:t>Required Intake Information:</w:t>
      </w:r>
    </w:p>
    <w:p>
      <w:pPr>
        <w:pStyle w:val="ListBullet"/>
      </w:pPr>
      <w:r>
        <w:t>Business objective and justification;</w:t>
      </w:r>
    </w:p>
    <w:p>
      <w:pPr>
        <w:pStyle w:val="ListBullet"/>
      </w:pPr>
      <w:r>
        <w:t>Product impacted;</w:t>
      </w:r>
    </w:p>
    <w:p>
      <w:pPr>
        <w:pStyle w:val="ListBullet"/>
      </w:pPr>
      <w:r>
        <w:t>Data classification (PCI, PII, PHI, etc.);</w:t>
      </w:r>
    </w:p>
    <w:p>
      <w:pPr>
        <w:pStyle w:val="ListBullet"/>
      </w:pPr>
      <w:r>
        <w:t>Tenant impact;</w:t>
      </w:r>
    </w:p>
    <w:p>
      <w:pPr>
        <w:pStyle w:val="ListBullet"/>
      </w:pPr>
      <w:r>
        <w:t>Jurisdictional exposure;</w:t>
      </w:r>
    </w:p>
    <w:p>
      <w:pPr>
        <w:pStyle w:val="ListBullet"/>
      </w:pPr>
      <w:r>
        <w:t>Decision impact level (financial, regulatory, operational);</w:t>
      </w:r>
    </w:p>
    <w:p>
      <w:pPr>
        <w:pStyle w:val="ListBullet"/>
      </w:pPr>
      <w:r>
        <w:t>Client AI Restriction applicability status.</w:t>
      </w:r>
    </w:p>
    <w:p>
      <w:r>
        <w:t>The AI Review Committee (ARC) shall review intake submissions and assign preliminary risk classification.</w:t>
      </w:r>
    </w:p>
    <w:p>
      <w:pPr>
        <w:pStyle w:val="Heading3"/>
      </w:pPr>
      <w:r>
        <w:t>2.2 Stage 2 — Risk Classification</w:t>
      </w:r>
    </w:p>
    <w:p>
      <w:r>
        <w:t>Risk Levels:</w:t>
      </w:r>
    </w:p>
    <w:p>
      <w:pPr>
        <w:pStyle w:val="ListBullet"/>
      </w:pPr>
      <w:r>
        <w:t>Low — No financial or customer impact;</w:t>
      </w:r>
    </w:p>
    <w:p>
      <w:pPr>
        <w:pStyle w:val="ListBullet"/>
      </w:pPr>
      <w:r>
        <w:t>Moderate — Customer-facing analytics or workflow optimization;</w:t>
      </w:r>
    </w:p>
    <w:p>
      <w:pPr>
        <w:pStyle w:val="ListBullet"/>
      </w:pPr>
      <w:r>
        <w:t>High — Financial decisioning, fraud detection, regulatory impact, or customer eligibility outcomes.</w:t>
      </w:r>
    </w:p>
    <w:p>
      <w:r>
        <w:t>High-Risk systems require independent validation prior to production deployment. Risk Classification Form shall be stored in SharePoint.</w:t>
      </w:r>
    </w:p>
    <w:p>
      <w:pPr>
        <w:pStyle w:val="Heading3"/>
      </w:pPr>
      <w:r>
        <w:t>2.3 Stage 3 — Mandatory Documentation</w:t>
      </w:r>
    </w:p>
    <w:p>
      <w:r>
        <w:t>Documentation shall be stored in: /AI Governance/{Product}/{System}/</w:t>
      </w:r>
    </w:p>
    <w:p>
      <w:r>
        <w:t>Required Artifacts:</w:t>
      </w:r>
    </w:p>
    <w:p>
      <w:pPr>
        <w:pStyle w:val="ListBullet"/>
      </w:pPr>
      <w:r>
        <w:t>Business Requirements Document (BRD);</w:t>
      </w:r>
    </w:p>
    <w:p>
      <w:pPr>
        <w:pStyle w:val="ListBullet"/>
      </w:pPr>
      <w:r>
        <w:t>Functional Specification;</w:t>
      </w:r>
    </w:p>
    <w:p>
      <w:pPr>
        <w:pStyle w:val="ListBullet"/>
      </w:pPr>
      <w:r>
        <w:t>Technical Specification;</w:t>
      </w:r>
    </w:p>
    <w:p>
      <w:pPr>
        <w:pStyle w:val="ListBullet"/>
      </w:pPr>
      <w:r>
        <w:t>Architecture Diagram;</w:t>
      </w:r>
    </w:p>
    <w:p>
      <w:pPr>
        <w:pStyle w:val="ListBullet"/>
      </w:pPr>
      <w:r>
        <w:t>Risk Classification Form;</w:t>
      </w:r>
    </w:p>
    <w:p>
      <w:pPr>
        <w:pStyle w:val="ListBullet"/>
      </w:pPr>
      <w:r>
        <w:t>Monitoring Plan;</w:t>
      </w:r>
    </w:p>
    <w:p>
      <w:pPr>
        <w:pStyle w:val="ListBullet"/>
      </w:pPr>
      <w:r>
        <w:t>Deployment Approval Record;</w:t>
      </w:r>
    </w:p>
    <w:p>
      <w:pPr>
        <w:pStyle w:val="ListBullet"/>
      </w:pPr>
      <w:r>
        <w:t>Validation Report (where applicable).</w:t>
      </w:r>
    </w:p>
    <w:p>
      <w:r>
        <w:t>Development shall not commence until the documentation folder has been created and initial artifacts uploaded.</w:t>
      </w:r>
    </w:p>
    <w:p>
      <w:pPr>
        <w:pStyle w:val="Heading3"/>
      </w:pPr>
      <w:r>
        <w:t>2.4 Stage 4 — Development Controls</w:t>
      </w:r>
    </w:p>
    <w:p>
      <w:pPr>
        <w:pStyle w:val="ListBullet"/>
      </w:pPr>
      <w:r>
        <w:t>All AI code must reside in GitHub repositories with protected branches;</w:t>
      </w:r>
    </w:p>
    <w:p>
      <w:pPr>
        <w:pStyle w:val="ListBullet"/>
      </w:pPr>
      <w:r>
        <w:t>Pull request approval is mandatory prior to merge;</w:t>
      </w:r>
    </w:p>
    <w:p>
      <w:pPr>
        <w:pStyle w:val="ListBullet"/>
      </w:pPr>
      <w:r>
        <w:t>Model version identifiers must be included in code and logs;</w:t>
      </w:r>
    </w:p>
    <w:p>
      <w:pPr>
        <w:pStyle w:val="ListBullet"/>
      </w:pPr>
      <w:r>
        <w:t>Secrets must be stored in AWS Secrets Manager;</w:t>
      </w:r>
    </w:p>
    <w:p>
      <w:pPr>
        <w:pStyle w:val="ListBullet"/>
      </w:pPr>
      <w:r>
        <w:t>Credentials shall never be hardcoded;</w:t>
      </w:r>
    </w:p>
    <w:p>
      <w:pPr>
        <w:pStyle w:val="ListBullet"/>
      </w:pPr>
      <w:r>
        <w:t>AI invocation logs must be captured in Datadog or equivalent monitoring tool.</w:t>
      </w:r>
    </w:p>
    <w:p>
      <w:r>
        <w:t>Codeowners and branch protection rules shall enforce review discipline.</w:t>
      </w:r>
    </w:p>
    <w:p>
      <w:pPr>
        <w:pStyle w:val="Heading3"/>
      </w:pPr>
      <w:r>
        <w:t>2.5 Stage 5 — Model Validation (Moderate &amp; High Risk)</w:t>
      </w:r>
    </w:p>
    <w:p>
      <w:r>
        <w:t>All Moderate and High-Risk AI systems must undergo formal validation prior to production deployment. Validation ensures conceptual integrity, performance reliability, bias mitigation, regulatory alignment, and operational readiness.</w:t>
      </w:r>
    </w:p>
    <w:p>
      <w:r>
        <w:t>Validation must include:</w:t>
      </w:r>
    </w:p>
    <w:p>
      <w:pPr>
        <w:pStyle w:val="ListBullet"/>
      </w:pPr>
      <w:r>
        <w:t>Conceptual model design review and documentation of assumptions;</w:t>
      </w:r>
    </w:p>
    <w:p>
      <w:pPr>
        <w:pStyle w:val="ListBullet"/>
      </w:pPr>
      <w:r>
        <w:t>Training and testing data integrity verification;</w:t>
      </w:r>
    </w:p>
    <w:p>
      <w:pPr>
        <w:pStyle w:val="ListBullet"/>
      </w:pPr>
      <w:r>
        <w:t>Reproducibility testing to confirm consistent output behavior;</w:t>
      </w:r>
    </w:p>
    <w:p>
      <w:pPr>
        <w:pStyle w:val="ListBullet"/>
      </w:pPr>
      <w:r>
        <w:t>Performance benchmarking against predefined acceptance criteria;</w:t>
      </w:r>
    </w:p>
    <w:p>
      <w:pPr>
        <w:pStyle w:val="ListBullet"/>
      </w:pPr>
      <w:r>
        <w:t>Bias and fairness testing across relevant user groups;</w:t>
      </w:r>
    </w:p>
    <w:p>
      <w:pPr>
        <w:pStyle w:val="ListBullet"/>
      </w:pPr>
      <w:r>
        <w:t>False positive and false negative rate analysis (where applicable);</w:t>
      </w:r>
    </w:p>
    <w:p>
      <w:pPr>
        <w:pStyle w:val="ListBullet"/>
      </w:pPr>
      <w:r>
        <w:t>Stress testing for financial or regulatory impact scenarios;</w:t>
      </w:r>
    </w:p>
    <w:p>
      <w:pPr>
        <w:pStyle w:val="ListBullet"/>
      </w:pPr>
      <w:r>
        <w:t>Monitoring thresholds and drift detection configuration definition.</w:t>
      </w:r>
    </w:p>
    <w:p>
      <w:r>
        <w:t>High-Risk AI systems require independent validation review prior to deployment approval. Validation reports must be stored in SharePoint under the designated AI Governance folder.</w:t>
      </w:r>
    </w:p>
    <w:p>
      <w:pPr>
        <w:pStyle w:val="Heading3"/>
      </w:pPr>
      <w:r>
        <w:t>2.6 Stage 6 — Deployment Approval</w:t>
      </w:r>
    </w:p>
    <w:p>
      <w:r>
        <w:t>No AI system may be deployed to production without formal deployment approval.</w:t>
      </w:r>
    </w:p>
    <w:p>
      <w:r>
        <w:t>Deployment approval requires confirmation of:</w:t>
      </w:r>
    </w:p>
    <w:p>
      <w:pPr>
        <w:pStyle w:val="ListBullet"/>
      </w:pPr>
      <w:r>
        <w:t>Completion of mandatory documentation artifacts;</w:t>
      </w:r>
    </w:p>
    <w:p>
      <w:pPr>
        <w:pStyle w:val="ListBullet"/>
      </w:pPr>
      <w:r>
        <w:t>Completed risk classification and approval record;</w:t>
      </w:r>
    </w:p>
    <w:p>
      <w:pPr>
        <w:pStyle w:val="ListBullet"/>
      </w:pPr>
      <w:r>
        <w:t>Completed validation (where required);</w:t>
      </w:r>
    </w:p>
    <w:p>
      <w:pPr>
        <w:pStyle w:val="ListBullet"/>
      </w:pPr>
      <w:r>
        <w:t>Completed security review;</w:t>
      </w:r>
    </w:p>
    <w:p>
      <w:pPr>
        <w:pStyle w:val="ListBullet"/>
      </w:pPr>
      <w:r>
        <w:t>Defined rollback plan;</w:t>
      </w:r>
    </w:p>
    <w:p>
      <w:pPr>
        <w:pStyle w:val="ListBullet"/>
      </w:pPr>
      <w:r>
        <w:t>Verification of AI-Restricted tenant enforcement controls (if applicable).</w:t>
      </w:r>
    </w:p>
    <w:p>
      <w:r>
        <w:t>Production deployment must occur exclusively via approved CI/CD pipelines (GitHub Actions). Manual deployment is prohibited.</w:t>
      </w:r>
    </w:p>
    <w:p>
      <w:pPr>
        <w:pStyle w:val="Heading3"/>
      </w:pPr>
      <w:r>
        <w:t>2.7 Stage 7 — Monitoring &amp; Observability</w:t>
      </w:r>
    </w:p>
    <w:p>
      <w:r>
        <w:t>All AI systems must implement monitoring and observability controls proportionate to their risk classification.</w:t>
      </w:r>
    </w:p>
    <w:p>
      <w:r>
        <w:t>Monitoring controls must include:</w:t>
      </w:r>
    </w:p>
    <w:p>
      <w:pPr>
        <w:pStyle w:val="ListBullet"/>
      </w:pPr>
      <w:r>
        <w:t>Model version logging;</w:t>
      </w:r>
    </w:p>
    <w:p>
      <w:pPr>
        <w:pStyle w:val="ListBullet"/>
      </w:pPr>
      <w:r>
        <w:t>Decision metadata logging;</w:t>
      </w:r>
    </w:p>
    <w:p>
      <w:pPr>
        <w:pStyle w:val="ListBullet"/>
      </w:pPr>
      <w:r>
        <w:t>Performance metric dashboards (Datadog or equivalent);</w:t>
      </w:r>
    </w:p>
    <w:p>
      <w:pPr>
        <w:pStyle w:val="ListBullet"/>
      </w:pPr>
      <w:r>
        <w:t>Error rate tracking;</w:t>
      </w:r>
    </w:p>
    <w:p>
      <w:pPr>
        <w:pStyle w:val="ListBullet"/>
      </w:pPr>
      <w:r>
        <w:t>Alert thresholds for abnormal performance;</w:t>
      </w:r>
    </w:p>
    <w:p>
      <w:pPr>
        <w:pStyle w:val="ListBullet"/>
      </w:pPr>
      <w:r>
        <w:t>Drift monitoring (for predictive models);</w:t>
      </w:r>
    </w:p>
    <w:p>
      <w:pPr>
        <w:pStyle w:val="ListBullet"/>
      </w:pPr>
      <w:r>
        <w:t>AI-Restricted tenant monitoring to confirm AI remains disabled.</w:t>
      </w:r>
    </w:p>
    <w:p>
      <w:r>
        <w:t>Monitoring Review Cadence:</w:t>
      </w:r>
    </w:p>
    <w:p>
      <w:pPr>
        <w:pStyle w:val="ListBullet"/>
      </w:pPr>
      <w:r>
        <w:t>High Risk — Quarterly;</w:t>
      </w:r>
    </w:p>
    <w:p>
      <w:pPr>
        <w:pStyle w:val="ListBullet"/>
      </w:pPr>
      <w:r>
        <w:t>Moderate Risk — Biannual;</w:t>
      </w:r>
    </w:p>
    <w:p>
      <w:pPr>
        <w:pStyle w:val="ListBullet"/>
      </w:pPr>
      <w:r>
        <w:t>Low Risk — Annual.</w:t>
      </w:r>
    </w:p>
    <w:p>
      <w:pPr>
        <w:pStyle w:val="Heading3"/>
      </w:pPr>
      <w:r>
        <w:t>2.8 Stage 8 — Change Management</w:t>
      </w:r>
    </w:p>
    <w:p>
      <w:r>
        <w:t>All changes to AI systems must follow structured change management procedures. Changes include model updates, prompt revisions, architecture changes, new training datasets, and expansion into new jurisdictions.</w:t>
      </w:r>
    </w:p>
    <w:p>
      <w:r>
        <w:t>Change Management Workflow:</w:t>
      </w:r>
    </w:p>
    <w:p>
      <w:pPr>
        <w:pStyle w:val="ListNumber"/>
      </w:pPr>
      <w:r>
        <w:t>Create Jira ticket labeled 'AI-CHANGE';</w:t>
      </w:r>
    </w:p>
    <w:p>
      <w:pPr>
        <w:pStyle w:val="ListNumber"/>
      </w:pPr>
      <w:r>
        <w:t>Update risk assessment documentation;</w:t>
      </w:r>
    </w:p>
    <w:p>
      <w:pPr>
        <w:pStyle w:val="ListNumber"/>
      </w:pPr>
      <w:r>
        <w:t>Update technical documentation and architecture artifacts;</w:t>
      </w:r>
    </w:p>
    <w:p>
      <w:pPr>
        <w:pStyle w:val="ListNumber"/>
      </w:pPr>
      <w:r>
        <w:t>Conduct re-validation if risk profile changes;</w:t>
      </w:r>
    </w:p>
    <w:p>
      <w:pPr>
        <w:pStyle w:val="ListNumber"/>
      </w:pPr>
      <w:r>
        <w:t>Obtain ARC approval if risk classification increases;</w:t>
      </w:r>
    </w:p>
    <w:p>
      <w:pPr>
        <w:pStyle w:val="ListNumber"/>
      </w:pPr>
      <w:r>
        <w:t>Confirm rollback plan;</w:t>
      </w:r>
    </w:p>
    <w:p>
      <w:pPr>
        <w:pStyle w:val="ListNumber"/>
      </w:pPr>
      <w:r>
        <w:t>Document approval record in SharePoint.</w:t>
      </w:r>
    </w:p>
    <w:p>
      <w:pPr>
        <w:pStyle w:val="Heading3"/>
      </w:pPr>
      <w:r>
        <w:t>2.9 Stage 9 — Incident Management</w:t>
      </w:r>
    </w:p>
    <w:p>
      <w:r>
        <w:t>AI-related incidents must be handled through structured response protocols integrated with the Company’s broader incident management framework.</w:t>
      </w:r>
    </w:p>
    <w:p>
      <w:r>
        <w:t>Trigger: Jira ticket labeled 'AI-INCIDENT'.</w:t>
      </w:r>
    </w:p>
    <w:p>
      <w:r>
        <w:t>Mandatory Response Actions:</w:t>
      </w:r>
    </w:p>
    <w:p>
      <w:pPr>
        <w:pStyle w:val="ListNumber"/>
      </w:pPr>
      <w:r>
        <w:t>Notify Security and Compliance within 24 hours;</w:t>
      </w:r>
    </w:p>
    <w:p>
      <w:pPr>
        <w:pStyle w:val="ListNumber"/>
      </w:pPr>
      <w:r>
        <w:t>Assess financial, operational, and regulatory impact;</w:t>
      </w:r>
    </w:p>
    <w:p>
      <w:pPr>
        <w:pStyle w:val="ListNumber"/>
      </w:pPr>
      <w:r>
        <w:t>Disable affected AI feature if required;</w:t>
      </w:r>
    </w:p>
    <w:p>
      <w:pPr>
        <w:pStyle w:val="ListNumber"/>
      </w:pPr>
      <w:r>
        <w:t>Conduct root cause analysis;</w:t>
      </w:r>
    </w:p>
    <w:p>
      <w:pPr>
        <w:pStyle w:val="ListNumber"/>
      </w:pPr>
      <w:r>
        <w:t>Document corrective and preventive actions;</w:t>
      </w:r>
    </w:p>
    <w:p>
      <w:pPr>
        <w:pStyle w:val="ListNumber"/>
      </w:pPr>
      <w:r>
        <w:t>Update AI Risk Register if new risk identified;</w:t>
      </w:r>
    </w:p>
    <w:p>
      <w:pPr>
        <w:pStyle w:val="ListNumber"/>
      </w:pPr>
      <w:r>
        <w:t>Escalate material incidents to ARC and Board.</w:t>
      </w:r>
    </w:p>
    <w:p>
      <w:pPr>
        <w:pStyle w:val="Heading2"/>
      </w:pPr>
      <w:r>
        <w:t>3. AI RISK REGISTER PROCEDURE</w:t>
      </w:r>
    </w:p>
    <w:p>
      <w:r>
        <w:t>The AI Risk Register shall be maintained in SharePoint and updated at minimum quarterly.</w:t>
      </w:r>
    </w:p>
    <w:p>
      <w:r>
        <w:t>Required Fields:</w:t>
      </w:r>
    </w:p>
    <w:p>
      <w:pPr>
        <w:pStyle w:val="ListBullet"/>
      </w:pPr>
      <w:r>
        <w:t>System Name;</w:t>
      </w:r>
    </w:p>
    <w:p>
      <w:pPr>
        <w:pStyle w:val="ListBullet"/>
      </w:pPr>
      <w:r>
        <w:t>Model Version;</w:t>
      </w:r>
    </w:p>
    <w:p>
      <w:pPr>
        <w:pStyle w:val="ListBullet"/>
      </w:pPr>
      <w:r>
        <w:t>Risk Level;</w:t>
      </w:r>
    </w:p>
    <w:p>
      <w:pPr>
        <w:pStyle w:val="ListBullet"/>
      </w:pPr>
      <w:r>
        <w:t>Regulatory Exposure;</w:t>
      </w:r>
    </w:p>
    <w:p>
      <w:pPr>
        <w:pStyle w:val="ListBullet"/>
      </w:pPr>
      <w:r>
        <w:t>Data Classification;</w:t>
      </w:r>
    </w:p>
    <w:p>
      <w:pPr>
        <w:pStyle w:val="ListBullet"/>
      </w:pPr>
      <w:r>
        <w:t>Bias Risk;</w:t>
      </w:r>
    </w:p>
    <w:p>
      <w:pPr>
        <w:pStyle w:val="ListBullet"/>
      </w:pPr>
      <w:r>
        <w:t>Financial Impact;</w:t>
      </w:r>
    </w:p>
    <w:p>
      <w:pPr>
        <w:pStyle w:val="ListBullet"/>
      </w:pPr>
      <w:r>
        <w:t>Mitigation Controls;</w:t>
      </w:r>
    </w:p>
    <w:p>
      <w:pPr>
        <w:pStyle w:val="ListBullet"/>
      </w:pPr>
      <w:r>
        <w:t>Monitoring Controls;</w:t>
      </w:r>
    </w:p>
    <w:p>
      <w:pPr>
        <w:pStyle w:val="ListBullet"/>
      </w:pPr>
      <w:r>
        <w:t>Owner;</w:t>
      </w:r>
    </w:p>
    <w:p>
      <w:pPr>
        <w:pStyle w:val="ListBullet"/>
      </w:pPr>
      <w:r>
        <w:t>Review Dates;</w:t>
      </w:r>
    </w:p>
    <w:p>
      <w:pPr>
        <w:pStyle w:val="ListBullet"/>
      </w:pPr>
      <w:r>
        <w:t>AI Restriction Status.</w:t>
      </w:r>
    </w:p>
    <w:p>
      <w:pPr>
        <w:pStyle w:val="Heading2"/>
      </w:pPr>
      <w:r>
        <w:t>4. PROHIBITED USAGE ENFORCEMENT</w:t>
      </w:r>
    </w:p>
    <w:p>
      <w:r>
        <w:t>Violations of AI Policy or Procedure may result in deployment suspension, mandatory security review, disciplinary action, or vendor reassessment.</w:t>
      </w:r>
    </w:p>
    <w:p>
      <w:r>
        <w:t>Unauthorized activation of AI functionality in AI-Restricted environments constitutes a material governance breach.</w:t>
      </w:r>
    </w:p>
    <w:p>
      <w:pPr>
        <w:pStyle w:val="Heading2"/>
      </w:pPr>
      <w:r>
        <w:t>5. QUARTERLY AI GOVERNANCE REPORT PROCEDURE</w:t>
      </w:r>
    </w:p>
    <w:p>
      <w:r>
        <w:t>The AI Review Committee (ARC) shall prepare a Quarterly AI Governance Report to ensure executive and Board-level visibility into AI risk posture, system inventory, performance trends, and regulatory exposure.</w:t>
      </w:r>
    </w:p>
    <w:p>
      <w:r>
        <w:t>The report shall include:</w:t>
      </w:r>
    </w:p>
    <w:p>
      <w:pPr>
        <w:pStyle w:val="ListBullet"/>
      </w:pPr>
      <w:r>
        <w:t>Comprehensive AI system inventory by product;</w:t>
      </w:r>
    </w:p>
    <w:p>
      <w:pPr>
        <w:pStyle w:val="ListBullet"/>
      </w:pPr>
      <w:r>
        <w:t>Risk classification distribution summary;</w:t>
      </w:r>
    </w:p>
    <w:p>
      <w:pPr>
        <w:pStyle w:val="ListBullet"/>
      </w:pPr>
      <w:r>
        <w:t>Validation status of Moderate and High-Risk systems;</w:t>
      </w:r>
    </w:p>
    <w:p>
      <w:pPr>
        <w:pStyle w:val="ListBullet"/>
      </w:pPr>
      <w:r>
        <w:t>Summary of AI-related incidents and corrective actions;</w:t>
      </w:r>
    </w:p>
    <w:p>
      <w:pPr>
        <w:pStyle w:val="ListBullet"/>
      </w:pPr>
      <w:r>
        <w:t>Model performance and drift monitoring trends;</w:t>
      </w:r>
    </w:p>
    <w:p>
      <w:pPr>
        <w:pStyle w:val="ListBullet"/>
      </w:pPr>
      <w:r>
        <w:t>Verification of AI-Restricted tenant enforcement;</w:t>
      </w:r>
    </w:p>
    <w:p>
      <w:pPr>
        <w:pStyle w:val="ListBullet"/>
      </w:pPr>
      <w:r>
        <w:t>Regulatory or legal developments impacting AI operations;</w:t>
      </w:r>
    </w:p>
    <w:p>
      <w:pPr>
        <w:pStyle w:val="ListBullet"/>
      </w:pPr>
      <w:r>
        <w:t>Governance KPIs and control effectiveness indicators.</w:t>
      </w:r>
    </w:p>
    <w:p>
      <w:r>
        <w:t>The finalized report shall be stored in SharePoint and presented to executive leadership and the Board.</w:t>
      </w:r>
    </w:p>
    <w:p>
      <w:pPr>
        <w:pStyle w:val="Heading2"/>
      </w:pPr>
      <w:r>
        <w:t>6. DEVELOPER ATTESTATION WORKFLOW</w:t>
      </w:r>
    </w:p>
    <w:p>
      <w:r>
        <w:t>All personnel contributing to AI system development, validation, deployment, or monitoring must complete annual attestation confirming compliance with AIMS requirements.</w:t>
      </w:r>
    </w:p>
    <w:p>
      <w:r>
        <w:t>Attestation process steps:</w:t>
      </w:r>
    </w:p>
    <w:p>
      <w:pPr>
        <w:pStyle w:val="ListNumber"/>
      </w:pPr>
      <w:r>
        <w:t>Distribution of annual attestation form;</w:t>
      </w:r>
    </w:p>
    <w:p>
      <w:pPr>
        <w:pStyle w:val="ListNumber"/>
      </w:pPr>
      <w:r>
        <w:t>Confirmation of policy review and understanding;</w:t>
      </w:r>
    </w:p>
    <w:p>
      <w:pPr>
        <w:pStyle w:val="ListNumber"/>
      </w:pPr>
      <w:r>
        <w:t>Acknowledgment of secure data handling obligations;</w:t>
      </w:r>
    </w:p>
    <w:p>
      <w:pPr>
        <w:pStyle w:val="ListNumber"/>
      </w:pPr>
      <w:r>
        <w:t>Affirmation of adherence to intake, validation, and monitoring requirements;</w:t>
      </w:r>
    </w:p>
    <w:p>
      <w:pPr>
        <w:pStyle w:val="ListNumber"/>
      </w:pPr>
      <w:r>
        <w:t>Submission of signed acknowledgment to Compliance.</w:t>
      </w:r>
    </w:p>
    <w:p>
      <w:r>
        <w:t>Attestation records shall be retained for a minimum of five (5) years and made available during internal or external audits.</w:t>
      </w:r>
    </w:p>
    <w:p>
      <w:pPr>
        <w:pStyle w:val="Heading2"/>
      </w:pPr>
      <w:r>
        <w:t>7. INTERNAL AUDIT EXECUTION PROCEDURE</w:t>
      </w:r>
    </w:p>
    <w:p>
      <w:r>
        <w:t>The Company shall conduct annual internal audits of the Artificial Intelligence Management System to assess control effectiveness and compliance.</w:t>
      </w:r>
    </w:p>
    <w:p>
      <w:r>
        <w:t>Audit activities shall include:</w:t>
      </w:r>
    </w:p>
    <w:p>
      <w:pPr>
        <w:pStyle w:val="ListBullet"/>
      </w:pPr>
      <w:r>
        <w:t>Verification of accurate AI risk classification;</w:t>
      </w:r>
    </w:p>
    <w:p>
      <w:pPr>
        <w:pStyle w:val="ListBullet"/>
      </w:pPr>
      <w:r>
        <w:t>Review of documentation completeness and version control;</w:t>
      </w:r>
    </w:p>
    <w:p>
      <w:pPr>
        <w:pStyle w:val="ListBullet"/>
      </w:pPr>
      <w:r>
        <w:t>Validation artifact review for Moderate and High-Risk systems;</w:t>
      </w:r>
    </w:p>
    <w:p>
      <w:pPr>
        <w:pStyle w:val="ListBullet"/>
      </w:pPr>
      <w:r>
        <w:t>Monitoring and drift detection control testing;</w:t>
      </w:r>
    </w:p>
    <w:p>
      <w:pPr>
        <w:pStyle w:val="ListBullet"/>
      </w:pPr>
      <w:r>
        <w:t>Incident management process review;</w:t>
      </w:r>
    </w:p>
    <w:p>
      <w:pPr>
        <w:pStyle w:val="ListBullet"/>
      </w:pPr>
      <w:r>
        <w:t>Testing of AI-Restricted tenant enforcement controls.</w:t>
      </w:r>
    </w:p>
    <w:p>
      <w:r>
        <w:t>Audit findings shall be documented in formal audit reports and tracked through remediation workflows until closure.</w:t>
      </w:r>
    </w:p>
    <w:p>
      <w:pPr>
        <w:pStyle w:val="Heading2"/>
      </w:pPr>
      <w:r>
        <w:t>8. AI-RESTRICTED TENANT TECHNICAL ENFORCEMENT PROCEDURE</w:t>
      </w:r>
    </w:p>
    <w:p>
      <w:r>
        <w:t>For clients requiring 'No AI Usage,' the following enforcement controls must be implemented and verified:</w:t>
      </w:r>
    </w:p>
    <w:p>
      <w:pPr>
        <w:pStyle w:val="ListBullet"/>
      </w:pPr>
      <w:r>
        <w:t>Feature flags disabling AI functionality at tenant level;</w:t>
      </w:r>
    </w:p>
    <w:p>
      <w:pPr>
        <w:pStyle w:val="ListBullet"/>
      </w:pPr>
      <w:r>
        <w:t>Configuration validation prior to deployment;</w:t>
      </w:r>
    </w:p>
    <w:p>
      <w:pPr>
        <w:pStyle w:val="ListBullet"/>
      </w:pPr>
      <w:r>
        <w:t>Automated monitoring confirming AI invocation is disabled;</w:t>
      </w:r>
    </w:p>
    <w:p>
      <w:pPr>
        <w:pStyle w:val="ListBullet"/>
      </w:pPr>
      <w:r>
        <w:t>Logging verification to detect unauthorized AI calls;</w:t>
      </w:r>
    </w:p>
    <w:p>
      <w:pPr>
        <w:pStyle w:val="ListBullet"/>
      </w:pPr>
      <w:r>
        <w:t>Quarterly verification audit by Engineering and Compliance.</w:t>
      </w:r>
    </w:p>
    <w:p>
      <w:r>
        <w:t>Unauthorized activation of AI functionality in a restricted tenant constitutes a material governance violation and must trigger an AI-INCIDENT workflow.</w:t>
      </w:r>
    </w:p>
    <w:p>
      <w:pPr>
        <w:pStyle w:val="Heading2"/>
      </w:pPr>
      <w:r>
        <w:t>9. RECORD RETENTION &amp; EVIDENCE MANAGEMENT</w:t>
      </w:r>
    </w:p>
    <w:p>
      <w:r>
        <w:t>All AI governance artifacts, validation reports, approval records, risk registers, monitoring dashboards, and attestation forms must be retained in accordance with Company record retention policies.</w:t>
      </w:r>
    </w:p>
    <w:p>
      <w:r>
        <w:t>Minimum retention requirements:</w:t>
      </w:r>
    </w:p>
    <w:p>
      <w:pPr>
        <w:pStyle w:val="ListBullet"/>
      </w:pPr>
      <w:r>
        <w:t>Validation reports — 5 years;</w:t>
      </w:r>
    </w:p>
    <w:p>
      <w:pPr>
        <w:pStyle w:val="ListBullet"/>
      </w:pPr>
      <w:r>
        <w:t>Risk Register history — 5 years;</w:t>
      </w:r>
    </w:p>
    <w:p>
      <w:pPr>
        <w:pStyle w:val="ListBullet"/>
      </w:pPr>
      <w:r>
        <w:t>Incident records — 5 years;</w:t>
      </w:r>
    </w:p>
    <w:p>
      <w:pPr>
        <w:pStyle w:val="ListBullet"/>
      </w:pPr>
      <w:r>
        <w:t>Developer attestations — 5 years;</w:t>
      </w:r>
    </w:p>
    <w:p>
      <w:pPr>
        <w:pStyle w:val="ListBullet"/>
      </w:pPr>
      <w:r>
        <w:t>Quarterly Governance Reports — 7 years.</w:t>
      </w:r>
    </w:p>
    <w:p>
      <w:r>
        <w:t>Records must be stored in approved repositories (SharePoint or equivalent) with controlled access and version traceability.</w:t>
      </w:r>
    </w:p>
    <w:p>
      <w:r>
        <w:br w:type="page"/>
      </w:r>
    </w:p>
    <w:p>
      <w:pPr>
        <w:pStyle w:val="Heading1"/>
      </w:pPr>
      <w:r>
        <w:t>ANNEX B — PROCEDURE TO ISO CONTROL MAPPING MATRIX</w:t>
      </w:r>
    </w:p>
    <w:p>
      <w:r>
        <w:t>This Annex provides detailed traceability between procedural controls defined in Volume II and relevant ISO/IEC 42001:2023 clauses and ISO/IEC 27001:2022 Annex A controls. It also identifies primary evidence sources and control ownership.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Procedure Section</w:t>
            </w:r>
          </w:p>
        </w:tc>
        <w:tc>
          <w:tcPr>
            <w:tcW w:type="dxa" w:w="1728"/>
          </w:tcPr>
          <w:p>
            <w:r>
              <w:t>ISO 42001 Clause(s)</w:t>
            </w:r>
          </w:p>
        </w:tc>
        <w:tc>
          <w:tcPr>
            <w:tcW w:type="dxa" w:w="1728"/>
          </w:tcPr>
          <w:p>
            <w:r>
              <w:t>ISO 27001 Annex A Control(s)</w:t>
            </w:r>
          </w:p>
        </w:tc>
        <w:tc>
          <w:tcPr>
            <w:tcW w:type="dxa" w:w="1728"/>
          </w:tcPr>
          <w:p>
            <w:r>
              <w:t>Primary Evidence Source</w:t>
            </w:r>
          </w:p>
        </w:tc>
        <w:tc>
          <w:tcPr>
            <w:tcW w:type="dxa" w:w="1728"/>
          </w:tcPr>
          <w:p>
            <w:r>
              <w:t>Control Owner</w:t>
            </w:r>
          </w:p>
        </w:tc>
      </w:tr>
      <w:tr>
        <w:tc>
          <w:tcPr>
            <w:tcW w:type="dxa" w:w="1728"/>
          </w:tcPr>
          <w:p>
            <w:r>
              <w:t>2.1 AI Intake</w:t>
            </w:r>
          </w:p>
        </w:tc>
        <w:tc>
          <w:tcPr>
            <w:tcW w:type="dxa" w:w="1728"/>
          </w:tcPr>
          <w:p>
            <w:r>
              <w:t>8.1</w:t>
            </w:r>
          </w:p>
        </w:tc>
        <w:tc>
          <w:tcPr>
            <w:tcW w:type="dxa" w:w="1728"/>
          </w:tcPr>
          <w:p>
            <w:r>
              <w:t>A.5.2, A.5.7</w:t>
            </w:r>
          </w:p>
        </w:tc>
        <w:tc>
          <w:tcPr>
            <w:tcW w:type="dxa" w:w="1728"/>
          </w:tcPr>
          <w:p>
            <w:r>
              <w:t>Jira (AI-INIT), SharePoint Folder</w:t>
            </w:r>
          </w:p>
        </w:tc>
        <w:tc>
          <w:tcPr>
            <w:tcW w:type="dxa" w:w="1728"/>
          </w:tcPr>
          <w:p>
            <w:r>
              <w:t>AI Governance Lead</w:t>
            </w:r>
          </w:p>
        </w:tc>
      </w:tr>
      <w:tr>
        <w:tc>
          <w:tcPr>
            <w:tcW w:type="dxa" w:w="1728"/>
          </w:tcPr>
          <w:p>
            <w:r>
              <w:t>2.2 Risk Classification</w:t>
            </w:r>
          </w:p>
        </w:tc>
        <w:tc>
          <w:tcPr>
            <w:tcW w:type="dxa" w:w="1728"/>
          </w:tcPr>
          <w:p>
            <w:r>
              <w:t>6.1</w:t>
            </w:r>
          </w:p>
        </w:tc>
        <w:tc>
          <w:tcPr>
            <w:tcW w:type="dxa" w:w="1728"/>
          </w:tcPr>
          <w:p>
            <w:r>
              <w:t>A.5.7</w:t>
            </w:r>
          </w:p>
        </w:tc>
        <w:tc>
          <w:tcPr>
            <w:tcW w:type="dxa" w:w="1728"/>
          </w:tcPr>
          <w:p>
            <w:r>
              <w:t>Risk Classification Form (SharePoint)</w:t>
            </w:r>
          </w:p>
        </w:tc>
        <w:tc>
          <w:tcPr>
            <w:tcW w:type="dxa" w:w="1728"/>
          </w:tcPr>
          <w:p>
            <w:r>
              <w:t>AI Governance Lead</w:t>
            </w:r>
          </w:p>
        </w:tc>
      </w:tr>
      <w:tr>
        <w:tc>
          <w:tcPr>
            <w:tcW w:type="dxa" w:w="1728"/>
          </w:tcPr>
          <w:p>
            <w:r>
              <w:t>2.3 Documentation Controls</w:t>
            </w:r>
          </w:p>
        </w:tc>
        <w:tc>
          <w:tcPr>
            <w:tcW w:type="dxa" w:w="1728"/>
          </w:tcPr>
          <w:p>
            <w:r>
              <w:t>7.5</w:t>
            </w:r>
          </w:p>
        </w:tc>
        <w:tc>
          <w:tcPr>
            <w:tcW w:type="dxa" w:w="1728"/>
          </w:tcPr>
          <w:p>
            <w:r>
              <w:t>A.5.1</w:t>
            </w:r>
          </w:p>
        </w:tc>
        <w:tc>
          <w:tcPr>
            <w:tcW w:type="dxa" w:w="1728"/>
          </w:tcPr>
          <w:p>
            <w:r>
              <w:t>SharePoint Governance Folder</w:t>
            </w:r>
          </w:p>
        </w:tc>
        <w:tc>
          <w:tcPr>
            <w:tcW w:type="dxa" w:w="1728"/>
          </w:tcPr>
          <w:p>
            <w:r>
              <w:t>Product Owner</w:t>
            </w:r>
          </w:p>
        </w:tc>
      </w:tr>
      <w:tr>
        <w:tc>
          <w:tcPr>
            <w:tcW w:type="dxa" w:w="1728"/>
          </w:tcPr>
          <w:p>
            <w:r>
              <w:t>2.4 Development Controls</w:t>
            </w:r>
          </w:p>
        </w:tc>
        <w:tc>
          <w:tcPr>
            <w:tcW w:type="dxa" w:w="1728"/>
          </w:tcPr>
          <w:p>
            <w:r>
              <w:t>8.1</w:t>
            </w:r>
          </w:p>
        </w:tc>
        <w:tc>
          <w:tcPr>
            <w:tcW w:type="dxa" w:w="1728"/>
          </w:tcPr>
          <w:p>
            <w:r>
              <w:t>A.8.25, A.8.28</w:t>
            </w:r>
          </w:p>
        </w:tc>
        <w:tc>
          <w:tcPr>
            <w:tcW w:type="dxa" w:w="1728"/>
          </w:tcPr>
          <w:p>
            <w:r>
              <w:t>GitHub, Codeowners, CI Logs</w:t>
            </w:r>
          </w:p>
        </w:tc>
        <w:tc>
          <w:tcPr>
            <w:tcW w:type="dxa" w:w="1728"/>
          </w:tcPr>
          <w:p>
            <w:r>
              <w:t>Engineering Lead</w:t>
            </w:r>
          </w:p>
        </w:tc>
      </w:tr>
      <w:tr>
        <w:tc>
          <w:tcPr>
            <w:tcW w:type="dxa" w:w="1728"/>
          </w:tcPr>
          <w:p>
            <w:r>
              <w:t>2.5 Model Validation</w:t>
            </w:r>
          </w:p>
        </w:tc>
        <w:tc>
          <w:tcPr>
            <w:tcW w:type="dxa" w:w="1728"/>
          </w:tcPr>
          <w:p>
            <w:r>
              <w:t>8.3</w:t>
            </w:r>
          </w:p>
        </w:tc>
        <w:tc>
          <w:tcPr>
            <w:tcW w:type="dxa" w:w="1728"/>
          </w:tcPr>
          <w:p>
            <w:r>
              <w:t>A.8.29</w:t>
            </w:r>
          </w:p>
        </w:tc>
        <w:tc>
          <w:tcPr>
            <w:tcW w:type="dxa" w:w="1728"/>
          </w:tcPr>
          <w:p>
            <w:r>
              <w:t>Validation Report (SharePoint)</w:t>
            </w:r>
          </w:p>
        </w:tc>
        <w:tc>
          <w:tcPr>
            <w:tcW w:type="dxa" w:w="1728"/>
          </w:tcPr>
          <w:p>
            <w:r>
              <w:t>Independent Validator</w:t>
            </w:r>
          </w:p>
        </w:tc>
      </w:tr>
      <w:tr>
        <w:tc>
          <w:tcPr>
            <w:tcW w:type="dxa" w:w="1728"/>
          </w:tcPr>
          <w:p>
            <w:r>
              <w:t>2.6 Deployment Approval</w:t>
            </w:r>
          </w:p>
        </w:tc>
        <w:tc>
          <w:tcPr>
            <w:tcW w:type="dxa" w:w="1728"/>
          </w:tcPr>
          <w:p>
            <w:r>
              <w:t>8.1</w:t>
            </w:r>
          </w:p>
        </w:tc>
        <w:tc>
          <w:tcPr>
            <w:tcW w:type="dxa" w:w="1728"/>
          </w:tcPr>
          <w:p>
            <w:r>
              <w:t>A.8.32</w:t>
            </w:r>
          </w:p>
        </w:tc>
        <w:tc>
          <w:tcPr>
            <w:tcW w:type="dxa" w:w="1728"/>
          </w:tcPr>
          <w:p>
            <w:r>
              <w:t>Deployment Approval Record, CI Logs</w:t>
            </w:r>
          </w:p>
        </w:tc>
        <w:tc>
          <w:tcPr>
            <w:tcW w:type="dxa" w:w="1728"/>
          </w:tcPr>
          <w:p>
            <w:r>
              <w:t>CTO</w:t>
            </w:r>
          </w:p>
        </w:tc>
      </w:tr>
      <w:tr>
        <w:tc>
          <w:tcPr>
            <w:tcW w:type="dxa" w:w="1728"/>
          </w:tcPr>
          <w:p>
            <w:r>
              <w:t>2.7 Monitoring &amp; Observability</w:t>
            </w:r>
          </w:p>
        </w:tc>
        <w:tc>
          <w:tcPr>
            <w:tcW w:type="dxa" w:w="1728"/>
          </w:tcPr>
          <w:p>
            <w:r>
              <w:t>8.1, 9.1</w:t>
            </w:r>
          </w:p>
        </w:tc>
        <w:tc>
          <w:tcPr>
            <w:tcW w:type="dxa" w:w="1728"/>
          </w:tcPr>
          <w:p>
            <w:r>
              <w:t>A.8.16, A.5.24</w:t>
            </w:r>
          </w:p>
        </w:tc>
        <w:tc>
          <w:tcPr>
            <w:tcW w:type="dxa" w:w="1728"/>
          </w:tcPr>
          <w:p>
            <w:r>
              <w:t>Datadog Dashboards, Logs</w:t>
            </w:r>
          </w:p>
        </w:tc>
        <w:tc>
          <w:tcPr>
            <w:tcW w:type="dxa" w:w="1728"/>
          </w:tcPr>
          <w:p>
            <w:r>
              <w:t>Engineering Lead</w:t>
            </w:r>
          </w:p>
        </w:tc>
      </w:tr>
      <w:tr>
        <w:tc>
          <w:tcPr>
            <w:tcW w:type="dxa" w:w="1728"/>
          </w:tcPr>
          <w:p>
            <w:r>
              <w:t>2.8 Change Management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A.8.32</w:t>
            </w:r>
          </w:p>
        </w:tc>
        <w:tc>
          <w:tcPr>
            <w:tcW w:type="dxa" w:w="1728"/>
          </w:tcPr>
          <w:p>
            <w:r>
              <w:t>Jira (AI-CHANGE), Updated Risk Assessment</w:t>
            </w:r>
          </w:p>
        </w:tc>
        <w:tc>
          <w:tcPr>
            <w:tcW w:type="dxa" w:w="1728"/>
          </w:tcPr>
          <w:p>
            <w:r>
              <w:t>Engineering Lead</w:t>
            </w:r>
          </w:p>
        </w:tc>
      </w:tr>
      <w:tr>
        <w:tc>
          <w:tcPr>
            <w:tcW w:type="dxa" w:w="1728"/>
          </w:tcPr>
          <w:p>
            <w:r>
              <w:t>2.9 Incident Management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A.5.24</w:t>
            </w:r>
          </w:p>
        </w:tc>
        <w:tc>
          <w:tcPr>
            <w:tcW w:type="dxa" w:w="1728"/>
          </w:tcPr>
          <w:p>
            <w:r>
              <w:t>Jira (AI-INCIDENT), Incident Report</w:t>
            </w:r>
          </w:p>
        </w:tc>
        <w:tc>
          <w:tcPr>
            <w:tcW w:type="dxa" w:w="1728"/>
          </w:tcPr>
          <w:p>
            <w:r>
              <w:t>Security Team</w:t>
            </w:r>
          </w:p>
        </w:tc>
      </w:tr>
      <w:tr>
        <w:tc>
          <w:tcPr>
            <w:tcW w:type="dxa" w:w="1728"/>
          </w:tcPr>
          <w:p>
            <w:r>
              <w:t>3. AI Risk Register Procedure</w:t>
            </w:r>
          </w:p>
        </w:tc>
        <w:tc>
          <w:tcPr>
            <w:tcW w:type="dxa" w:w="1728"/>
          </w:tcPr>
          <w:p>
            <w:r>
              <w:t>6.1</w:t>
            </w:r>
          </w:p>
        </w:tc>
        <w:tc>
          <w:tcPr>
            <w:tcW w:type="dxa" w:w="1728"/>
          </w:tcPr>
          <w:p>
            <w:r>
              <w:t>A.5.7</w:t>
            </w:r>
          </w:p>
        </w:tc>
        <w:tc>
          <w:tcPr>
            <w:tcW w:type="dxa" w:w="1728"/>
          </w:tcPr>
          <w:p>
            <w:r>
              <w:t>Risk Register (SharePoint)</w:t>
            </w:r>
          </w:p>
        </w:tc>
        <w:tc>
          <w:tcPr>
            <w:tcW w:type="dxa" w:w="1728"/>
          </w:tcPr>
          <w:p>
            <w:r>
              <w:t>AI Governance Lead</w:t>
            </w:r>
          </w:p>
        </w:tc>
      </w:tr>
      <w:tr>
        <w:tc>
          <w:tcPr>
            <w:tcW w:type="dxa" w:w="1728"/>
          </w:tcPr>
          <w:p>
            <w:r>
              <w:t>4. Prohibited Usage Enforcement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A.5.2</w:t>
            </w:r>
          </w:p>
        </w:tc>
        <w:tc>
          <w:tcPr>
            <w:tcW w:type="dxa" w:w="1728"/>
          </w:tcPr>
          <w:p>
            <w:r>
              <w:t>Incident Logs, Compliance Records</w:t>
            </w:r>
          </w:p>
        </w:tc>
        <w:tc>
          <w:tcPr>
            <w:tcW w:type="dxa" w:w="1728"/>
          </w:tcPr>
          <w:p>
            <w:r>
              <w:t>Compliance</w:t>
            </w:r>
          </w:p>
        </w:tc>
      </w:tr>
      <w:tr>
        <w:tc>
          <w:tcPr>
            <w:tcW w:type="dxa" w:w="1728"/>
          </w:tcPr>
          <w:p>
            <w:r>
              <w:t>5. Quarterly Governance Report</w:t>
            </w:r>
          </w:p>
        </w:tc>
        <w:tc>
          <w:tcPr>
            <w:tcW w:type="dxa" w:w="1728"/>
          </w:tcPr>
          <w:p>
            <w:r>
              <w:t>9.3</w:t>
            </w:r>
          </w:p>
        </w:tc>
        <w:tc>
          <w:tcPr>
            <w:tcW w:type="dxa" w:w="1728"/>
          </w:tcPr>
          <w:p>
            <w:r>
              <w:t>9.3</w:t>
            </w:r>
          </w:p>
        </w:tc>
        <w:tc>
          <w:tcPr>
            <w:tcW w:type="dxa" w:w="1728"/>
          </w:tcPr>
          <w:p>
            <w:r>
              <w:t>Quarterly Report (SharePoint)</w:t>
            </w:r>
          </w:p>
        </w:tc>
        <w:tc>
          <w:tcPr>
            <w:tcW w:type="dxa" w:w="1728"/>
          </w:tcPr>
          <w:p>
            <w:r>
              <w:t>ARC</w:t>
            </w:r>
          </w:p>
        </w:tc>
      </w:tr>
      <w:tr>
        <w:tc>
          <w:tcPr>
            <w:tcW w:type="dxa" w:w="1728"/>
          </w:tcPr>
          <w:p>
            <w:r>
              <w:t>6. Developer Attestation</w:t>
            </w:r>
          </w:p>
        </w:tc>
        <w:tc>
          <w:tcPr>
            <w:tcW w:type="dxa" w:w="1728"/>
          </w:tcPr>
          <w:p>
            <w:r>
              <w:t>7.2</w:t>
            </w:r>
          </w:p>
        </w:tc>
        <w:tc>
          <w:tcPr>
            <w:tcW w:type="dxa" w:w="1728"/>
          </w:tcPr>
          <w:p>
            <w:r>
              <w:t>7.2</w:t>
            </w:r>
          </w:p>
        </w:tc>
        <w:tc>
          <w:tcPr>
            <w:tcW w:type="dxa" w:w="1728"/>
          </w:tcPr>
          <w:p>
            <w:r>
              <w:t>Signed Attestation Records</w:t>
            </w:r>
          </w:p>
        </w:tc>
        <w:tc>
          <w:tcPr>
            <w:tcW w:type="dxa" w:w="1728"/>
          </w:tcPr>
          <w:p>
            <w:r>
              <w:t>Compliance</w:t>
            </w:r>
          </w:p>
        </w:tc>
      </w:tr>
      <w:tr>
        <w:tc>
          <w:tcPr>
            <w:tcW w:type="dxa" w:w="1728"/>
          </w:tcPr>
          <w:p>
            <w:r>
              <w:t>7. Internal Audit Execution</w:t>
            </w:r>
          </w:p>
        </w:tc>
        <w:tc>
          <w:tcPr>
            <w:tcW w:type="dxa" w:w="1728"/>
          </w:tcPr>
          <w:p>
            <w:r>
              <w:t>9.2</w:t>
            </w:r>
          </w:p>
        </w:tc>
        <w:tc>
          <w:tcPr>
            <w:tcW w:type="dxa" w:w="1728"/>
          </w:tcPr>
          <w:p>
            <w:r>
              <w:t>9.2</w:t>
            </w:r>
          </w:p>
        </w:tc>
        <w:tc>
          <w:tcPr>
            <w:tcW w:type="dxa" w:w="1728"/>
          </w:tcPr>
          <w:p>
            <w:r>
              <w:t>Internal Audit Reports</w:t>
            </w:r>
          </w:p>
        </w:tc>
        <w:tc>
          <w:tcPr>
            <w:tcW w:type="dxa" w:w="1728"/>
          </w:tcPr>
          <w:p>
            <w:r>
              <w:t>Internal Audit</w:t>
            </w:r>
          </w:p>
        </w:tc>
      </w:tr>
      <w:tr>
        <w:tc>
          <w:tcPr>
            <w:tcW w:type="dxa" w:w="1728"/>
          </w:tcPr>
          <w:p>
            <w:r>
              <w:t>8. AI-Restricted Enforcement</w:t>
            </w:r>
          </w:p>
        </w:tc>
        <w:tc>
          <w:tcPr>
            <w:tcW w:type="dxa" w:w="1728"/>
          </w:tcPr>
          <w:p>
            <w:r>
              <w:t>8.1</w:t>
            </w:r>
          </w:p>
        </w:tc>
        <w:tc>
          <w:tcPr>
            <w:tcW w:type="dxa" w:w="1728"/>
          </w:tcPr>
          <w:p>
            <w:r>
              <w:t>A.5.2, A.8.16</w:t>
            </w:r>
          </w:p>
        </w:tc>
        <w:tc>
          <w:tcPr>
            <w:tcW w:type="dxa" w:w="1728"/>
          </w:tcPr>
          <w:p>
            <w:r>
              <w:t>Feature Flags, Monitoring Logs</w:t>
            </w:r>
          </w:p>
        </w:tc>
        <w:tc>
          <w:tcPr>
            <w:tcW w:type="dxa" w:w="1728"/>
          </w:tcPr>
          <w:p>
            <w:r>
              <w:t>Engineering Lead</w:t>
            </w:r>
          </w:p>
        </w:tc>
      </w:tr>
      <w:tr>
        <w:tc>
          <w:tcPr>
            <w:tcW w:type="dxa" w:w="1728"/>
          </w:tcPr>
          <w:p>
            <w:r>
              <w:t>9. Record Retention</w:t>
            </w:r>
          </w:p>
        </w:tc>
        <w:tc>
          <w:tcPr>
            <w:tcW w:type="dxa" w:w="1728"/>
          </w:tcPr>
          <w:p>
            <w:r>
              <w:t>7.5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  <w:tc>
          <w:tcPr>
            <w:tcW w:type="dxa" w:w="1728"/>
          </w:tcPr>
          <w:p>
            <w:r>
              <w:t>SharePoint Archive Logs</w:t>
            </w:r>
          </w:p>
        </w:tc>
        <w:tc>
          <w:tcPr>
            <w:tcW w:type="dxa" w:w="1728"/>
          </w:tcPr>
          <w:p>
            <w:r>
              <w:t>Compliance</w:t>
            </w:r>
          </w:p>
        </w:tc>
      </w:tr>
    </w:tbl>
    <w:p>
      <w:r>
        <w:t>Note: This mapping supports governance traceability and certification readiness. Expanded control-level mapping may be required for formal ISO certification audits.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AC1A645EC7642BB1CAFC205964F13" ma:contentTypeVersion="18" ma:contentTypeDescription="Create a new document." ma:contentTypeScope="" ma:versionID="5c3c4e6709d4eb6b5680942c2062fa31">
  <xsd:schema xmlns:xsd="http://www.w3.org/2001/XMLSchema" xmlns:xs="http://www.w3.org/2001/XMLSchema" xmlns:p="http://schemas.microsoft.com/office/2006/metadata/properties" xmlns:ns2="87ab6801-0c2f-4efe-b1cd-807f9fa7d761" xmlns:ns3="2af8d7b6-483a-4ed7-a374-ddac51cde818" targetNamespace="http://schemas.microsoft.com/office/2006/metadata/properties" ma:root="true" ma:fieldsID="008981f577a0f9f4458f21ab95c307f5" ns2:_="" ns3:_="">
    <xsd:import namespace="87ab6801-0c2f-4efe-b1cd-807f9fa7d761"/>
    <xsd:import namespace="2af8d7b6-483a-4ed7-a374-ddac51cde81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  <xsd:element ref="ns3:Purpo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ab6801-0c2f-4efe-b1cd-807f9fa7d76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74e7f485-5e05-405d-9eee-26f7cac73d94}" ma:internalName="TaxCatchAll" ma:showField="CatchAllData" ma:web="87ab6801-0c2f-4efe-b1cd-807f9fa7d7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f8d7b6-483a-4ed7-a374-ddac51cde8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3a13f5b-c16d-449c-bc00-2c7a28d6e3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Purpose" ma:index="24" nillable="true" ma:displayName="Purpose" ma:format="Dropdown" ma:internalName="Purpo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7ab6801-0c2f-4efe-b1cd-807f9fa7d761" xsi:nil="true"/>
    <Purpose xmlns="2af8d7b6-483a-4ed7-a374-ddac51cde818" xsi:nil="true"/>
    <lcf76f155ced4ddcb4097134ff3c332f xmlns="2af8d7b6-483a-4ed7-a374-ddac51cde8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6AB4EB-72E9-49C1-BFC6-E2988FEA9EA8}"/>
</file>

<file path=customXml/itemProps3.xml><?xml version="1.0" encoding="utf-8"?>
<ds:datastoreItem xmlns:ds="http://schemas.openxmlformats.org/officeDocument/2006/customXml" ds:itemID="{7A895D77-0644-4B14-9D44-75CC4982E924}"/>
</file>

<file path=customXml/itemProps4.xml><?xml version="1.0" encoding="utf-8"?>
<ds:datastoreItem xmlns:ds="http://schemas.openxmlformats.org/officeDocument/2006/customXml" ds:itemID="{23AA2CD1-2AAB-4E52-92C1-D9C8B2FB0D3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0x010100028AC1A645EC7642BB1CAFC205964F13</vt:lpwstr>
  </property>
</Properties>
</file>