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AD12" w14:textId="315C6E43" w:rsidR="00CB6022" w:rsidRDefault="00CB6022" w:rsidP="00CB6022">
      <w:pPr>
        <w:pStyle w:val="Heading1"/>
        <w:spacing w:after="40"/>
        <w:rPr>
          <w:rFonts w:ascii="Arial" w:eastAsia="Arial" w:hAnsi="Arial" w:cs="Arial"/>
          <w:b/>
          <w:bCs/>
          <w:color w:val="1F3A5F"/>
          <w:sz w:val="34"/>
          <w:szCs w:val="34"/>
        </w:rPr>
      </w:pPr>
      <w:r>
        <w:rPr>
          <w:rFonts w:ascii="Arial" w:eastAsia="Arial" w:hAnsi="Arial" w:cs="Arial"/>
          <w:b/>
          <w:bCs/>
          <w:color w:val="1F3A5F"/>
          <w:sz w:val="34"/>
          <w:szCs w:val="34"/>
        </w:rPr>
        <w:t>Section A — Problem Framing</w:t>
      </w:r>
    </w:p>
    <w:p w14:paraId="66392895" w14:textId="77777777" w:rsidR="00CB6022" w:rsidRPr="00CB6022" w:rsidRDefault="00CB6022" w:rsidP="00CB6022"/>
    <w:p w14:paraId="116B82C6" w14:textId="552E58AF" w:rsidR="00CB6022" w:rsidRDefault="00CB6022" w:rsidP="000452EE">
      <w:pPr>
        <w:pStyle w:val="Heading2"/>
        <w:numPr>
          <w:ilvl w:val="0"/>
          <w:numId w:val="2"/>
        </w:numPr>
        <w:rPr>
          <w:rFonts w:ascii="Arial" w:eastAsia="Arial" w:hAnsi="Arial" w:cs="Arial"/>
          <w:b/>
          <w:bCs/>
          <w:color w:val="1F3A5F"/>
          <w:sz w:val="26"/>
          <w:szCs w:val="26"/>
        </w:rPr>
      </w:pPr>
      <w:r>
        <w:rPr>
          <w:rFonts w:ascii="Arial" w:eastAsia="Arial" w:hAnsi="Arial" w:cs="Arial"/>
          <w:b/>
          <w:bCs/>
          <w:color w:val="1F3A5F"/>
          <w:sz w:val="26"/>
          <w:szCs w:val="26"/>
        </w:rPr>
        <w:t>Define ‘underperforming store’ precisely — three ways</w:t>
      </w:r>
    </w:p>
    <w:p w14:paraId="631C712B" w14:textId="1A6B2605" w:rsidR="000452EE" w:rsidRPr="000452EE" w:rsidRDefault="000452EE" w:rsidP="000452EE">
      <w:r>
        <w:t>Underperformance is defined three distinct, measurable ways below. Each uses different measures and answers a different stakeholder’s question, so the dashboard does not rely on a single, blunt definition of failure</w:t>
      </w:r>
    </w:p>
    <w:tbl>
      <w:tblPr>
        <w:tblStyle w:val="TableGrid"/>
        <w:tblW w:w="10165" w:type="dxa"/>
        <w:tblLook w:val="04A0" w:firstRow="1" w:lastRow="0" w:firstColumn="1" w:lastColumn="0" w:noHBand="0" w:noVBand="1"/>
      </w:tblPr>
      <w:tblGrid>
        <w:gridCol w:w="2875"/>
        <w:gridCol w:w="4320"/>
        <w:gridCol w:w="2970"/>
      </w:tblGrid>
      <w:tr w:rsidR="00CB6022" w14:paraId="19F73548" w14:textId="77777777" w:rsidTr="00C936A9">
        <w:trPr>
          <w:trHeight w:val="557"/>
        </w:trPr>
        <w:tc>
          <w:tcPr>
            <w:tcW w:w="2875" w:type="dxa"/>
            <w:shd w:val="clear" w:color="auto" w:fill="5B9BD5" w:themeFill="accent5"/>
          </w:tcPr>
          <w:p w14:paraId="3FF9572A" w14:textId="77777777" w:rsidR="00CB6022" w:rsidRDefault="00CB6022" w:rsidP="00CB6022"/>
          <w:p w14:paraId="5C2222F5" w14:textId="45BA0E07" w:rsidR="00CB6022" w:rsidRPr="00C936A9" w:rsidRDefault="00C936A9" w:rsidP="00CB6022">
            <w:pPr>
              <w:rPr>
                <w:rFonts w:ascii="Arial" w:hAnsi="Arial" w:cs="Arial"/>
              </w:rPr>
            </w:pPr>
            <w:r>
              <w:rPr>
                <w:rFonts w:ascii="Arial" w:hAnsi="Arial" w:cs="Arial"/>
              </w:rPr>
              <w:t>Definition</w:t>
            </w:r>
          </w:p>
        </w:tc>
        <w:tc>
          <w:tcPr>
            <w:tcW w:w="4320" w:type="dxa"/>
            <w:shd w:val="clear" w:color="auto" w:fill="5B9BD5" w:themeFill="accent5"/>
          </w:tcPr>
          <w:p w14:paraId="3DF0DC17" w14:textId="77777777" w:rsidR="00CB6022" w:rsidRDefault="00CB6022" w:rsidP="00CB6022"/>
          <w:p w14:paraId="24A3E78C" w14:textId="5EF0F20E" w:rsidR="00C936A9" w:rsidRDefault="00C936A9" w:rsidP="00CB6022">
            <w:r>
              <w:t>DAX measure required</w:t>
            </w:r>
          </w:p>
        </w:tc>
        <w:tc>
          <w:tcPr>
            <w:tcW w:w="2970" w:type="dxa"/>
            <w:shd w:val="clear" w:color="auto" w:fill="5B9BD5" w:themeFill="accent5"/>
          </w:tcPr>
          <w:p w14:paraId="054F56C6" w14:textId="77777777" w:rsidR="00CB6022" w:rsidRDefault="00CB6022" w:rsidP="00CB6022"/>
          <w:p w14:paraId="3EF6B7D5" w14:textId="3414BEDC" w:rsidR="00C936A9" w:rsidRDefault="00C936A9" w:rsidP="00CB6022">
            <w:r>
              <w:t>Stakeholder best served</w:t>
            </w:r>
          </w:p>
        </w:tc>
      </w:tr>
      <w:tr w:rsidR="00CB6022" w14:paraId="694B708A" w14:textId="77777777" w:rsidTr="00C936A9">
        <w:trPr>
          <w:trHeight w:val="1754"/>
        </w:trPr>
        <w:tc>
          <w:tcPr>
            <w:tcW w:w="2875" w:type="dxa"/>
          </w:tcPr>
          <w:p w14:paraId="415450B2" w14:textId="77777777" w:rsidR="00C936A9" w:rsidRDefault="00C936A9" w:rsidP="00C936A9"/>
          <w:p w14:paraId="2ECF31D3" w14:textId="5DB74AE2" w:rsidR="00C936A9" w:rsidRDefault="00C936A9" w:rsidP="00C936A9">
            <w:pPr>
              <w:rPr>
                <w:rFonts w:ascii="Arial Black" w:hAnsi="Arial Black"/>
                <w:sz w:val="20"/>
                <w:szCs w:val="20"/>
              </w:rPr>
            </w:pPr>
            <w:r w:rsidRPr="00C936A9">
              <w:rPr>
                <w:rFonts w:ascii="Arial Black" w:hAnsi="Arial Black"/>
                <w:sz w:val="20"/>
                <w:szCs w:val="20"/>
              </w:rPr>
              <w:t>1.Below regional average</w:t>
            </w:r>
            <w:r>
              <w:rPr>
                <w:rFonts w:ascii="Arial Black" w:hAnsi="Arial Black"/>
                <w:sz w:val="20"/>
                <w:szCs w:val="20"/>
              </w:rPr>
              <w:t xml:space="preserve"> </w:t>
            </w:r>
          </w:p>
          <w:p w14:paraId="3BC3C8E6" w14:textId="49EBB2CF" w:rsidR="00C936A9" w:rsidRPr="000452EE" w:rsidRDefault="00C936A9" w:rsidP="00C936A9">
            <w:pPr>
              <w:rPr>
                <w:rFonts w:cstheme="minorHAnsi"/>
              </w:rPr>
            </w:pPr>
            <w:r w:rsidRPr="000452EE">
              <w:rPr>
                <w:rFonts w:cstheme="minorHAnsi"/>
              </w:rPr>
              <w:t>Revenue lower than the average revenue of stores in the same region</w:t>
            </w:r>
          </w:p>
        </w:tc>
        <w:tc>
          <w:tcPr>
            <w:tcW w:w="4320" w:type="dxa"/>
          </w:tcPr>
          <w:p w14:paraId="0BD7EAEF" w14:textId="77777777" w:rsidR="00CB6022" w:rsidRDefault="00CB6022" w:rsidP="00CB6022"/>
          <w:p w14:paraId="60FEECCE" w14:textId="23DF7038" w:rsidR="00C936A9" w:rsidRDefault="00C936A9" w:rsidP="00CB6022">
            <w:r>
              <w:t>Total Revenue; Region Avg Revenue (CALCULATE + ALLEXCEPT); vs Region avg %</w:t>
            </w:r>
          </w:p>
        </w:tc>
        <w:tc>
          <w:tcPr>
            <w:tcW w:w="2970" w:type="dxa"/>
          </w:tcPr>
          <w:p w14:paraId="5037579F" w14:textId="77777777" w:rsidR="00CB6022" w:rsidRDefault="00CB6022" w:rsidP="00CB6022"/>
          <w:p w14:paraId="2ECF7F17" w14:textId="521FAA91" w:rsidR="00C936A9" w:rsidRDefault="00C936A9" w:rsidP="00CB6022">
            <w:r>
              <w:t>Commercial Director – wants regional context, not a company-wide league table</w:t>
            </w:r>
          </w:p>
        </w:tc>
      </w:tr>
      <w:tr w:rsidR="00CB6022" w14:paraId="1736592A" w14:textId="77777777" w:rsidTr="000452EE">
        <w:trPr>
          <w:trHeight w:val="1880"/>
        </w:trPr>
        <w:tc>
          <w:tcPr>
            <w:tcW w:w="2875" w:type="dxa"/>
          </w:tcPr>
          <w:p w14:paraId="0D569A57" w14:textId="77777777" w:rsidR="00CB6022" w:rsidRDefault="00CB6022" w:rsidP="00CB6022"/>
          <w:p w14:paraId="143738C8" w14:textId="77777777" w:rsidR="001E3C32" w:rsidRDefault="001E3C32" w:rsidP="00CB6022">
            <w:pPr>
              <w:rPr>
                <w:rFonts w:ascii="Arial Black" w:hAnsi="Arial Black"/>
                <w:sz w:val="20"/>
                <w:szCs w:val="20"/>
              </w:rPr>
            </w:pPr>
            <w:r w:rsidRPr="001E3C32">
              <w:rPr>
                <w:rFonts w:ascii="Arial Black" w:hAnsi="Arial Black"/>
                <w:sz w:val="20"/>
                <w:szCs w:val="20"/>
              </w:rPr>
              <w:t>2.Bottom quartile of its region</w:t>
            </w:r>
          </w:p>
          <w:p w14:paraId="0E296083" w14:textId="189AAB82" w:rsidR="001E3C32" w:rsidRPr="001E3C32" w:rsidRDefault="001E3C32" w:rsidP="00CB6022">
            <w:pPr>
              <w:rPr>
                <w:rFonts w:ascii="Arial Black" w:hAnsi="Arial Black"/>
                <w:sz w:val="20"/>
                <w:szCs w:val="20"/>
              </w:rPr>
            </w:pPr>
            <w:r>
              <w:t>R</w:t>
            </w:r>
            <w:r>
              <w:t>ank in the weakest 25% of stores within its own region by revenue</w:t>
            </w:r>
          </w:p>
        </w:tc>
        <w:tc>
          <w:tcPr>
            <w:tcW w:w="4320" w:type="dxa"/>
          </w:tcPr>
          <w:p w14:paraId="5704D9E7" w14:textId="77777777" w:rsidR="00CB6022" w:rsidRDefault="00CB6022" w:rsidP="00CB6022"/>
          <w:p w14:paraId="64683729" w14:textId="494B1C24" w:rsidR="001E3C32" w:rsidRDefault="001E3C32" w:rsidP="00CB6022">
            <w:r>
              <w:t>Store Revenue Rank (Region) (RANKX + ALLEXCEPT); Is Bottom Quartile (Region)</w:t>
            </w:r>
          </w:p>
        </w:tc>
        <w:tc>
          <w:tcPr>
            <w:tcW w:w="2970" w:type="dxa"/>
          </w:tcPr>
          <w:p w14:paraId="09534EED" w14:textId="77777777" w:rsidR="00CB6022" w:rsidRDefault="00CB6022" w:rsidP="00CB6022"/>
          <w:p w14:paraId="0D191B3B" w14:textId="49EECF1A" w:rsidR="001E3C32" w:rsidRDefault="001E3C32" w:rsidP="00CB6022">
            <w:r>
              <w:t>Commercial Director &amp; Regional Managers – isolates closure / investment candidates per region.</w:t>
            </w:r>
          </w:p>
        </w:tc>
      </w:tr>
      <w:tr w:rsidR="00CB6022" w14:paraId="39380B3C" w14:textId="77777777" w:rsidTr="000452EE">
        <w:trPr>
          <w:trHeight w:val="1979"/>
        </w:trPr>
        <w:tc>
          <w:tcPr>
            <w:tcW w:w="2875" w:type="dxa"/>
          </w:tcPr>
          <w:p w14:paraId="37AFB9A4" w14:textId="77777777" w:rsidR="00CB6022" w:rsidRDefault="00CB6022" w:rsidP="00CB6022"/>
          <w:p w14:paraId="562D917C" w14:textId="77777777" w:rsidR="001E3C32" w:rsidRDefault="001E3C32" w:rsidP="00CB6022">
            <w:pPr>
              <w:rPr>
                <w:rFonts w:ascii="Arial Black" w:hAnsi="Arial Black"/>
                <w:sz w:val="20"/>
                <w:szCs w:val="20"/>
              </w:rPr>
            </w:pPr>
            <w:r w:rsidRPr="001E3C32">
              <w:rPr>
                <w:rFonts w:ascii="Arial Black" w:hAnsi="Arial Black"/>
                <w:sz w:val="20"/>
                <w:szCs w:val="20"/>
              </w:rPr>
              <w:t xml:space="preserve">3.Missing target &amp; declining </w:t>
            </w:r>
          </w:p>
          <w:p w14:paraId="1B07529D" w14:textId="4B7614DD" w:rsidR="001E3C32" w:rsidRPr="001E3C32" w:rsidRDefault="001E3C32" w:rsidP="00CB6022">
            <w:pPr>
              <w:rPr>
                <w:rFonts w:cstheme="minorHAnsi"/>
              </w:rPr>
            </w:pPr>
            <w:r w:rsidRPr="001E3C32">
              <w:rPr>
                <w:rFonts w:cstheme="minorHAnsi"/>
              </w:rPr>
              <w:t>Persistently below its revenue target and / or falling year-on-year</w:t>
            </w:r>
          </w:p>
        </w:tc>
        <w:tc>
          <w:tcPr>
            <w:tcW w:w="4320" w:type="dxa"/>
          </w:tcPr>
          <w:p w14:paraId="727FE478" w14:textId="77777777" w:rsidR="00CB6022" w:rsidRDefault="00CB6022" w:rsidP="00CB6022"/>
          <w:p w14:paraId="0A731823" w14:textId="77777777" w:rsidR="001E3C32" w:rsidRDefault="001E3C32" w:rsidP="00CB6022">
            <w:r>
              <w:t>Revenue Target</w:t>
            </w:r>
          </w:p>
          <w:p w14:paraId="02F906EA" w14:textId="2F70EF55" w:rsidR="001E3C32" w:rsidRDefault="001E3C32" w:rsidP="00CB6022">
            <w:r>
              <w:t>(USERRELATIONSHIP); Variance to Target%;</w:t>
            </w:r>
            <w:r w:rsidR="000452EE">
              <w:t xml:space="preserve"> </w:t>
            </w:r>
            <w:r>
              <w:t>Revenue</w:t>
            </w:r>
            <w:r w:rsidR="000452EE">
              <w:t xml:space="preserve"> </w:t>
            </w:r>
            <w:r>
              <w:t>vs SPLY%</w:t>
            </w:r>
          </w:p>
        </w:tc>
        <w:tc>
          <w:tcPr>
            <w:tcW w:w="2970" w:type="dxa"/>
          </w:tcPr>
          <w:p w14:paraId="58E5287D" w14:textId="77777777" w:rsidR="00CB6022" w:rsidRDefault="00CB6022" w:rsidP="00CB6022"/>
          <w:p w14:paraId="268AE320" w14:textId="33093E2B" w:rsidR="001E3C32" w:rsidRDefault="000452EE" w:rsidP="00CB6022">
            <w:r>
              <w:t>CFO &amp; Commercial Director-separates a store that is simply small from one that is deteriorating.</w:t>
            </w:r>
          </w:p>
        </w:tc>
      </w:tr>
    </w:tbl>
    <w:p w14:paraId="65922A19" w14:textId="3D029649" w:rsidR="00CB6022" w:rsidRDefault="000452EE" w:rsidP="00CB6022">
      <w:r w:rsidRPr="000452EE">
        <w:rPr>
          <w:b/>
          <w:bCs/>
        </w:rPr>
        <w:t>Note</w:t>
      </w:r>
      <w:r>
        <w:rPr>
          <w:b/>
          <w:bCs/>
        </w:rPr>
        <w:t xml:space="preserve">: </w:t>
      </w:r>
      <w:r>
        <w:t>profitability is a fourth lens, explored in Section H. Because six stores carry an 8% Enterprise Zone cost loading but also qualify for 14-22% tax relief, a store can look weak on raw revenue yet be healthy on EZ-adjusted margin – which is why ranking on margin is revisited after the restructure</w:t>
      </w:r>
      <w:r w:rsidR="00262A98">
        <w:t>.</w:t>
      </w:r>
    </w:p>
    <w:p w14:paraId="331C5322" w14:textId="77777777" w:rsidR="00262A98" w:rsidRDefault="00262A98" w:rsidP="00CB6022"/>
    <w:p w14:paraId="1AEC4844" w14:textId="77777777" w:rsidR="00262A98" w:rsidRDefault="00262A98" w:rsidP="00262A98">
      <w:pPr>
        <w:pStyle w:val="Heading2"/>
      </w:pPr>
      <w:r>
        <w:rPr>
          <w:rFonts w:ascii="Arial" w:eastAsia="Arial" w:hAnsi="Arial" w:cs="Arial"/>
          <w:b/>
          <w:bCs/>
          <w:color w:val="1F3A5F"/>
          <w:sz w:val="26"/>
          <w:szCs w:val="26"/>
        </w:rPr>
        <w:t>2.  The right benchmarking unit — company, region, or brand?</w:t>
      </w:r>
    </w:p>
    <w:p w14:paraId="0E0FAC42" w14:textId="23C24ADB" w:rsidR="00262A98" w:rsidRDefault="00262A98" w:rsidP="00CB6022">
      <w:r w:rsidRPr="00262A98">
        <w:t xml:space="preserve">Region is the primary benchmarking unit, because Regional Managers are accountable by region and targets are set regionally, so a company-wide league table would unfairly </w:t>
      </w:r>
      <w:r w:rsidRPr="00262A98">
        <w:t>penalize</w:t>
      </w:r>
      <w:r w:rsidRPr="00262A98">
        <w:t xml:space="preserve"> stores in smaller or lower-spending regions. To avoid comparing a Value High Street store against a Premium Shopping Mall, comparisons are controlled by carrying brand and </w:t>
      </w:r>
      <w:r w:rsidRPr="00262A98">
        <w:t>store type</w:t>
      </w:r>
      <w:r w:rsidRPr="00262A98">
        <w:t xml:space="preserve"> as </w:t>
      </w:r>
      <w:r w:rsidRPr="00262A98">
        <w:lastRenderedPageBreak/>
        <w:t xml:space="preserve">secondary segments — for example </w:t>
      </w:r>
      <w:r w:rsidRPr="00262A98">
        <w:t>ALLEXCEPT (</w:t>
      </w:r>
      <w:r w:rsidRPr="00262A98">
        <w:t>Stores, Stores[region], Stores[brand]) for a like-for-like brand-within-region rank — and by using size-</w:t>
      </w:r>
      <w:r w:rsidRPr="00262A98">
        <w:t>normalized</w:t>
      </w:r>
      <w:r w:rsidRPr="00262A98">
        <w:t xml:space="preserve"> measures such as Revenue per Sq Ft and Gross Margin % rather than raw revenue alone. In short: rank within region by default, with brand and store type available as slicers so every comparison is genuinely like-for-like.</w:t>
      </w:r>
    </w:p>
    <w:p w14:paraId="768955AE" w14:textId="77777777" w:rsidR="00262A98" w:rsidRDefault="00262A98" w:rsidP="00CB6022"/>
    <w:p w14:paraId="7496901F" w14:textId="77777777" w:rsidR="00262A98" w:rsidRDefault="00262A98" w:rsidP="00262A98">
      <w:pPr>
        <w:pStyle w:val="Heading2"/>
      </w:pPr>
      <w:r>
        <w:rPr>
          <w:rFonts w:ascii="Arial" w:eastAsia="Arial" w:hAnsi="Arial" w:cs="Arial"/>
          <w:b/>
          <w:bCs/>
          <w:color w:val="1F3A5F"/>
          <w:sz w:val="26"/>
          <w:szCs w:val="26"/>
        </w:rPr>
        <w:t>3.  What time window does ‘performance’ cover?</w:t>
      </w:r>
    </w:p>
    <w:p w14:paraId="2467E742" w14:textId="4C266D21" w:rsidR="00262A98" w:rsidRDefault="00262A98" w:rsidP="00CB6022">
      <w:r>
        <w:t>Each stakeholder cares about a different time view, which determine the time-Intelligence functions used in Section D.</w:t>
      </w:r>
    </w:p>
    <w:tbl>
      <w:tblPr>
        <w:tblStyle w:val="TableGrid"/>
        <w:tblW w:w="9270" w:type="dxa"/>
        <w:tblInd w:w="175" w:type="dxa"/>
        <w:tblLook w:val="04A0" w:firstRow="1" w:lastRow="0" w:firstColumn="1" w:lastColumn="0" w:noHBand="0" w:noVBand="1"/>
      </w:tblPr>
      <w:tblGrid>
        <w:gridCol w:w="2340"/>
        <w:gridCol w:w="6930"/>
      </w:tblGrid>
      <w:tr w:rsidR="00262A98" w14:paraId="4568DC4B" w14:textId="77777777" w:rsidTr="003C5CB2">
        <w:trPr>
          <w:trHeight w:val="674"/>
        </w:trPr>
        <w:tc>
          <w:tcPr>
            <w:tcW w:w="2340" w:type="dxa"/>
            <w:shd w:val="clear" w:color="auto" w:fill="FFC000" w:themeFill="accent4"/>
          </w:tcPr>
          <w:p w14:paraId="28EF1D7D" w14:textId="77777777" w:rsidR="00262A98" w:rsidRPr="00262A98" w:rsidRDefault="00262A98" w:rsidP="00262A98">
            <w:pPr>
              <w:jc w:val="center"/>
              <w:rPr>
                <w:b/>
                <w:bCs/>
                <w:i/>
                <w:iCs/>
              </w:rPr>
            </w:pPr>
          </w:p>
          <w:p w14:paraId="5A583F68" w14:textId="6EBAC947" w:rsidR="00262A98" w:rsidRPr="00262A98" w:rsidRDefault="00262A98" w:rsidP="00262A98">
            <w:pPr>
              <w:jc w:val="center"/>
              <w:rPr>
                <w:b/>
                <w:bCs/>
                <w:i/>
                <w:iCs/>
              </w:rPr>
            </w:pPr>
            <w:r w:rsidRPr="00262A98">
              <w:rPr>
                <w:b/>
                <w:bCs/>
                <w:i/>
                <w:iCs/>
              </w:rPr>
              <w:t>Stakeholder</w:t>
            </w:r>
          </w:p>
        </w:tc>
        <w:tc>
          <w:tcPr>
            <w:tcW w:w="6930" w:type="dxa"/>
            <w:shd w:val="clear" w:color="auto" w:fill="FFC000" w:themeFill="accent4"/>
          </w:tcPr>
          <w:p w14:paraId="1083C326" w14:textId="77777777" w:rsidR="00262A98" w:rsidRPr="00262A98" w:rsidRDefault="00262A98" w:rsidP="00262A98">
            <w:pPr>
              <w:jc w:val="center"/>
              <w:rPr>
                <w:b/>
                <w:bCs/>
                <w:i/>
                <w:iCs/>
              </w:rPr>
            </w:pPr>
          </w:p>
          <w:p w14:paraId="06855DB7" w14:textId="5C76C1D7" w:rsidR="00262A98" w:rsidRPr="00262A98" w:rsidRDefault="00262A98" w:rsidP="00262A98">
            <w:pPr>
              <w:jc w:val="center"/>
              <w:rPr>
                <w:b/>
                <w:bCs/>
                <w:i/>
                <w:iCs/>
              </w:rPr>
            </w:pPr>
            <w:r w:rsidRPr="00262A98">
              <w:rPr>
                <w:b/>
                <w:bCs/>
                <w:i/>
                <w:iCs/>
              </w:rPr>
              <w:t>Time window they care about</w:t>
            </w:r>
          </w:p>
        </w:tc>
      </w:tr>
      <w:tr w:rsidR="00262A98" w14:paraId="77C73E1D" w14:textId="77777777" w:rsidTr="003C5CB2">
        <w:trPr>
          <w:trHeight w:val="728"/>
        </w:trPr>
        <w:tc>
          <w:tcPr>
            <w:tcW w:w="2340" w:type="dxa"/>
          </w:tcPr>
          <w:p w14:paraId="62D80688" w14:textId="3AB499B8" w:rsidR="00262A98" w:rsidRPr="00262A98" w:rsidRDefault="00262A98" w:rsidP="00CB6022">
            <w:pPr>
              <w:rPr>
                <w:b/>
                <w:bCs/>
              </w:rPr>
            </w:pPr>
            <w:r w:rsidRPr="00262A98">
              <w:rPr>
                <w:b/>
                <w:bCs/>
              </w:rPr>
              <w:t>Commercial Director</w:t>
            </w:r>
          </w:p>
        </w:tc>
        <w:tc>
          <w:tcPr>
            <w:tcW w:w="6930" w:type="dxa"/>
          </w:tcPr>
          <w:p w14:paraId="147F6EB8" w14:textId="7BAA1074" w:rsidR="00262A98" w:rsidRDefault="00262A98" w:rsidP="00CB6022">
            <w:r>
              <w:t>Rolling 24-month trend plus the current p</w:t>
            </w:r>
            <w:r w:rsidR="003C5CB2">
              <w:t>oint-in-time ranking – wants both who is underperforming now and the two-years trajectory.</w:t>
            </w:r>
          </w:p>
        </w:tc>
      </w:tr>
      <w:tr w:rsidR="00262A98" w14:paraId="32F4BDD0" w14:textId="77777777" w:rsidTr="003C5CB2">
        <w:trPr>
          <w:trHeight w:val="759"/>
        </w:trPr>
        <w:tc>
          <w:tcPr>
            <w:tcW w:w="2340" w:type="dxa"/>
            <w:shd w:val="clear" w:color="auto" w:fill="A6A6A6" w:themeFill="background1" w:themeFillShade="A6"/>
          </w:tcPr>
          <w:p w14:paraId="31A6E45C" w14:textId="3AF29D0A" w:rsidR="00262A98" w:rsidRPr="003C5CB2" w:rsidRDefault="003C5CB2" w:rsidP="003C5CB2">
            <w:pPr>
              <w:jc w:val="center"/>
              <w:rPr>
                <w:b/>
                <w:bCs/>
              </w:rPr>
            </w:pPr>
            <w:r w:rsidRPr="003C5CB2">
              <w:rPr>
                <w:b/>
                <w:bCs/>
              </w:rPr>
              <w:t>CFO</w:t>
            </w:r>
          </w:p>
        </w:tc>
        <w:tc>
          <w:tcPr>
            <w:tcW w:w="6930" w:type="dxa"/>
            <w:shd w:val="clear" w:color="auto" w:fill="A6A6A6" w:themeFill="background1" w:themeFillShade="A6"/>
          </w:tcPr>
          <w:p w14:paraId="6A9360C8" w14:textId="683434FF" w:rsidR="00262A98" w:rsidRDefault="003C5CB2" w:rsidP="00CB6022">
            <w:r>
              <w:t>Year-on-year comparison (Revenue SPLY / Revenue vs SPLY %) – needs to sew whether gross margin is compressing or holding versus the prior year.</w:t>
            </w:r>
          </w:p>
        </w:tc>
      </w:tr>
      <w:tr w:rsidR="00262A98" w14:paraId="05183EB4" w14:textId="77777777" w:rsidTr="003C5CB2">
        <w:trPr>
          <w:trHeight w:val="728"/>
        </w:trPr>
        <w:tc>
          <w:tcPr>
            <w:tcW w:w="2340" w:type="dxa"/>
          </w:tcPr>
          <w:p w14:paraId="72229047" w14:textId="0E62DC65" w:rsidR="00262A98" w:rsidRPr="003C5CB2" w:rsidRDefault="003C5CB2" w:rsidP="003C5CB2">
            <w:pPr>
              <w:jc w:val="center"/>
              <w:rPr>
                <w:b/>
                <w:bCs/>
              </w:rPr>
            </w:pPr>
            <w:r w:rsidRPr="003C5CB2">
              <w:rPr>
                <w:b/>
                <w:bCs/>
              </w:rPr>
              <w:t>Head of Merchandising</w:t>
            </w:r>
          </w:p>
        </w:tc>
        <w:tc>
          <w:tcPr>
            <w:tcW w:w="6930" w:type="dxa"/>
          </w:tcPr>
          <w:p w14:paraId="3305EB14" w14:textId="5DA316D7" w:rsidR="00262A98" w:rsidRDefault="003C5CB2" w:rsidP="00CB6022">
            <w:r>
              <w:t>Rolling 3-month view by category – wants seasonal margin patterns, not a single point-in-time snapshot.</w:t>
            </w:r>
          </w:p>
        </w:tc>
      </w:tr>
      <w:tr w:rsidR="00262A98" w14:paraId="7FF7FDF8" w14:textId="77777777" w:rsidTr="003C5CB2">
        <w:trPr>
          <w:trHeight w:val="728"/>
        </w:trPr>
        <w:tc>
          <w:tcPr>
            <w:tcW w:w="2340" w:type="dxa"/>
            <w:shd w:val="clear" w:color="auto" w:fill="A6A6A6" w:themeFill="background1" w:themeFillShade="A6"/>
          </w:tcPr>
          <w:p w14:paraId="0E2A2A1A" w14:textId="5F9581FB" w:rsidR="00262A98" w:rsidRPr="003C5CB2" w:rsidRDefault="003C5CB2" w:rsidP="00CB6022">
            <w:pPr>
              <w:rPr>
                <w:b/>
                <w:bCs/>
              </w:rPr>
            </w:pPr>
            <w:r w:rsidRPr="003C5CB2">
              <w:rPr>
                <w:b/>
                <w:bCs/>
              </w:rPr>
              <w:t>Regional Managers</w:t>
            </w:r>
          </w:p>
        </w:tc>
        <w:tc>
          <w:tcPr>
            <w:tcW w:w="6930" w:type="dxa"/>
            <w:shd w:val="clear" w:color="auto" w:fill="A6A6A6" w:themeFill="background1" w:themeFillShade="A6"/>
          </w:tcPr>
          <w:p w14:paraId="029DEF75" w14:textId="6399406F" w:rsidR="00262A98" w:rsidRDefault="003C5CB2" w:rsidP="00CB6022">
            <w:r>
              <w:t>Current period / year-to-date against their regional target-wants live performance versus regional, not company-wide, benchmarks</w:t>
            </w:r>
          </w:p>
        </w:tc>
      </w:tr>
    </w:tbl>
    <w:p w14:paraId="12A5F0F4" w14:textId="77777777" w:rsidR="00262A98" w:rsidRDefault="00262A98" w:rsidP="00CB6022"/>
    <w:p w14:paraId="7380B474" w14:textId="08697194" w:rsidR="003C5CB2" w:rsidRDefault="003C5CB2" w:rsidP="003C5CB2">
      <w:pPr>
        <w:pStyle w:val="Heading2"/>
        <w:rPr>
          <w:rFonts w:ascii="Arial" w:eastAsia="Arial" w:hAnsi="Arial" w:cs="Arial"/>
          <w:b/>
          <w:bCs/>
          <w:color w:val="1F3A5F"/>
          <w:sz w:val="26"/>
          <w:szCs w:val="26"/>
        </w:rPr>
      </w:pPr>
      <w:r>
        <w:rPr>
          <w:rFonts w:ascii="Arial" w:eastAsia="Arial" w:hAnsi="Arial" w:cs="Arial"/>
          <w:b/>
          <w:bCs/>
          <w:color w:val="1F3A5F"/>
          <w:sz w:val="26"/>
          <w:szCs w:val="26"/>
        </w:rPr>
        <w:t xml:space="preserve">4.  </w:t>
      </w:r>
      <w:r w:rsidR="009E6436" w:rsidRPr="009E6436">
        <w:rPr>
          <w:rFonts w:ascii="Arial" w:eastAsia="Arial" w:hAnsi="Arial" w:cs="Arial"/>
          <w:b/>
          <w:bCs/>
          <w:color w:val="1F3A5F"/>
          <w:sz w:val="26"/>
          <w:szCs w:val="26"/>
        </w:rPr>
        <w:t>4. What is your working assumption about data completeness?</w:t>
      </w:r>
    </w:p>
    <w:p w14:paraId="092163DF" w14:textId="11842AE0" w:rsidR="009E6436" w:rsidRPr="009E6436" w:rsidRDefault="009E6436" w:rsidP="009E6436">
      <w:r w:rsidRPr="009E6436">
        <w:t>apex sales</w:t>
      </w:r>
      <w:r w:rsidRPr="009E6436">
        <w:t xml:space="preserve"> ‌table ‌sits ‌at exactly 11520 rows that split across sixty stores </w:t>
      </w:r>
      <w:r w:rsidRPr="009E6436">
        <w:t>twenty-four</w:t>
      </w:r>
      <w:r w:rsidRPr="009E6436">
        <w:t xml:space="preserve"> months and eight categories. Power Query confirmed it every store appears in each month for all categories. Nothing missing nothing duplicated. The grid stays full and packed no imputation required here. Models prepare anyway for whatever gaps might show up later on every ratio uses DIVIDE so blanks or zeros in the bottom just return blank without errors popping up. Ranks and variances get wrapped in those ISBLANK checks to avoid bad numbers when data is absent. COALESCE only comes in when zero carries meaning like with sales figures. Absent values stay absent and do not turn into something else by mistake.</w:t>
      </w:r>
    </w:p>
    <w:p w14:paraId="62550A80" w14:textId="77777777" w:rsidR="003C5CB2" w:rsidRPr="00262A98" w:rsidRDefault="003C5CB2" w:rsidP="00CB6022"/>
    <w:sectPr w:rsidR="003C5CB2" w:rsidRPr="00262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73E64"/>
    <w:multiLevelType w:val="hybridMultilevel"/>
    <w:tmpl w:val="42D44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655214"/>
    <w:multiLevelType w:val="hybridMultilevel"/>
    <w:tmpl w:val="92BE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3963730">
    <w:abstractNumId w:val="1"/>
  </w:num>
  <w:num w:numId="2" w16cid:durableId="64123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22"/>
    <w:rsid w:val="000452EE"/>
    <w:rsid w:val="001E3C32"/>
    <w:rsid w:val="00262A98"/>
    <w:rsid w:val="003C5CB2"/>
    <w:rsid w:val="009E6436"/>
    <w:rsid w:val="00A21DC6"/>
    <w:rsid w:val="00C936A9"/>
    <w:rsid w:val="00CB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5B0D"/>
  <w15:chartTrackingRefBased/>
  <w15:docId w15:val="{E7E8CBA6-2B6C-44FC-A165-66D903A9F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6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6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22"/>
    <w:rPr>
      <w:rFonts w:eastAsiaTheme="majorEastAsia" w:cstheme="majorBidi"/>
      <w:color w:val="272727" w:themeColor="text1" w:themeTint="D8"/>
    </w:rPr>
  </w:style>
  <w:style w:type="paragraph" w:styleId="Title">
    <w:name w:val="Title"/>
    <w:basedOn w:val="Normal"/>
    <w:next w:val="Normal"/>
    <w:link w:val="TitleChar"/>
    <w:uiPriority w:val="10"/>
    <w:qFormat/>
    <w:rsid w:val="00CB6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22"/>
    <w:pPr>
      <w:spacing w:before="160"/>
      <w:jc w:val="center"/>
    </w:pPr>
    <w:rPr>
      <w:i/>
      <w:iCs/>
      <w:color w:val="404040" w:themeColor="text1" w:themeTint="BF"/>
    </w:rPr>
  </w:style>
  <w:style w:type="character" w:customStyle="1" w:styleId="QuoteChar">
    <w:name w:val="Quote Char"/>
    <w:basedOn w:val="DefaultParagraphFont"/>
    <w:link w:val="Quote"/>
    <w:uiPriority w:val="29"/>
    <w:rsid w:val="00CB6022"/>
    <w:rPr>
      <w:i/>
      <w:iCs/>
      <w:color w:val="404040" w:themeColor="text1" w:themeTint="BF"/>
    </w:rPr>
  </w:style>
  <w:style w:type="paragraph" w:styleId="ListParagraph">
    <w:name w:val="List Paragraph"/>
    <w:basedOn w:val="Normal"/>
    <w:uiPriority w:val="34"/>
    <w:qFormat/>
    <w:rsid w:val="00CB6022"/>
    <w:pPr>
      <w:ind w:left="720"/>
      <w:contextualSpacing/>
    </w:pPr>
  </w:style>
  <w:style w:type="character" w:styleId="IntenseEmphasis">
    <w:name w:val="Intense Emphasis"/>
    <w:basedOn w:val="DefaultParagraphFont"/>
    <w:uiPriority w:val="21"/>
    <w:qFormat/>
    <w:rsid w:val="00CB6022"/>
    <w:rPr>
      <w:i/>
      <w:iCs/>
      <w:color w:val="2F5496" w:themeColor="accent1" w:themeShade="BF"/>
    </w:rPr>
  </w:style>
  <w:style w:type="paragraph" w:styleId="IntenseQuote">
    <w:name w:val="Intense Quote"/>
    <w:basedOn w:val="Normal"/>
    <w:next w:val="Normal"/>
    <w:link w:val="IntenseQuoteChar"/>
    <w:uiPriority w:val="30"/>
    <w:qFormat/>
    <w:rsid w:val="00CB6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022"/>
    <w:rPr>
      <w:i/>
      <w:iCs/>
      <w:color w:val="2F5496" w:themeColor="accent1" w:themeShade="BF"/>
    </w:rPr>
  </w:style>
  <w:style w:type="character" w:styleId="IntenseReference">
    <w:name w:val="Intense Reference"/>
    <w:basedOn w:val="DefaultParagraphFont"/>
    <w:uiPriority w:val="32"/>
    <w:qFormat/>
    <w:rsid w:val="00CB6022"/>
    <w:rPr>
      <w:b/>
      <w:bCs/>
      <w:smallCaps/>
      <w:color w:val="2F5496" w:themeColor="accent1" w:themeShade="BF"/>
      <w:spacing w:val="5"/>
    </w:rPr>
  </w:style>
  <w:style w:type="table" w:styleId="TableGrid">
    <w:name w:val="Table Grid"/>
    <w:basedOn w:val="TableNormal"/>
    <w:uiPriority w:val="39"/>
    <w:rsid w:val="00CB6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RAJU KOLIKONDA</dc:creator>
  <cp:keywords/>
  <dc:description/>
  <cp:lastModifiedBy>MOHAN RAJU KOLIKONDA</cp:lastModifiedBy>
  <cp:revision>1</cp:revision>
  <dcterms:created xsi:type="dcterms:W3CDTF">2026-06-05T11:59:00Z</dcterms:created>
  <dcterms:modified xsi:type="dcterms:W3CDTF">2026-06-05T13:05:00Z</dcterms:modified>
</cp:coreProperties>
</file>