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472CD" w14:textId="77777777" w:rsidR="00A855C5" w:rsidRDefault="00A855C5" w:rsidP="00A855C5">
      <w:pPr>
        <w:pStyle w:val="Heading1"/>
        <w:spacing w:after="40"/>
      </w:pPr>
      <w:r>
        <w:rPr>
          <w:rFonts w:ascii="Arial" w:eastAsia="Arial" w:hAnsi="Arial" w:cs="Arial"/>
          <w:b/>
          <w:bCs/>
          <w:color w:val="1F3A5F"/>
          <w:sz w:val="32"/>
          <w:szCs w:val="32"/>
        </w:rPr>
        <w:t>Written Submission — Design Decisions &amp; Stakeholder Insights</w:t>
      </w:r>
    </w:p>
    <w:p w14:paraId="737283A9" w14:textId="540F3121" w:rsidR="00A855C5" w:rsidRDefault="00A855C5">
      <w:pPr>
        <w:rPr>
          <w:b/>
          <w:bCs/>
        </w:rPr>
      </w:pPr>
      <w:r w:rsidRPr="00A855C5">
        <w:rPr>
          <w:b/>
          <w:bCs/>
        </w:rPr>
        <w:t>Part 1 -Dashboard Design Decisions (Per Page)</w:t>
      </w:r>
    </w:p>
    <w:p w14:paraId="4456FA99" w14:textId="21837BF2" w:rsidR="00A855C5" w:rsidRDefault="00A855C5">
      <w:pPr>
        <w:rPr>
          <w:i/>
          <w:iCs/>
          <w:color w:val="FFC000" w:themeColor="accent4"/>
          <w:sz w:val="22"/>
          <w:szCs w:val="22"/>
          <w:u w:val="single"/>
        </w:rPr>
      </w:pPr>
      <w:r w:rsidRPr="00A855C5">
        <w:rPr>
          <w:b/>
          <w:bCs/>
          <w:color w:val="FFC000" w:themeColor="accent4"/>
          <w:highlight w:val="black"/>
        </w:rPr>
        <w:t xml:space="preserve">Page 1. Executive Summary   </w:t>
      </w:r>
      <w:r w:rsidRPr="00A855C5">
        <w:rPr>
          <w:i/>
          <w:iCs/>
          <w:color w:val="FFC000" w:themeColor="accent4"/>
          <w:sz w:val="22"/>
          <w:szCs w:val="22"/>
          <w:highlight w:val="black"/>
          <w:u w:val="single"/>
        </w:rPr>
        <w:t>Commercial Director &amp; Board</w:t>
      </w:r>
    </w:p>
    <w:p w14:paraId="1B83E213" w14:textId="7F610A95" w:rsidR="00A855C5" w:rsidRDefault="009750C7">
      <w:pPr>
        <w:rPr>
          <w:color w:val="000000" w:themeColor="text1"/>
        </w:rPr>
      </w:pPr>
      <w:r>
        <w:rPr>
          <w:b/>
          <w:bCs/>
          <w:color w:val="000000" w:themeColor="text1"/>
        </w:rPr>
        <w:t xml:space="preserve">. </w:t>
      </w:r>
      <w:r w:rsidR="00A855C5">
        <w:rPr>
          <w:b/>
          <w:bCs/>
          <w:color w:val="000000" w:themeColor="text1"/>
        </w:rPr>
        <w:t xml:space="preserve">KPI cards on Top, Charts below – </w:t>
      </w:r>
      <w:r w:rsidR="00A855C5" w:rsidRPr="009750C7">
        <w:rPr>
          <w:color w:val="000000" w:themeColor="text1"/>
        </w:rPr>
        <w:t>headline numbers read</w:t>
      </w:r>
      <w:r w:rsidRPr="009750C7">
        <w:rPr>
          <w:color w:val="000000" w:themeColor="text1"/>
        </w:rPr>
        <w:t>able in five seconds.</w:t>
      </w:r>
    </w:p>
    <w:p w14:paraId="2B14BA5E" w14:textId="3C1CF102" w:rsidR="00153EF8" w:rsidRPr="00153EF8" w:rsidRDefault="009750C7" w:rsidP="00153EF8">
      <w:pPr>
        <w:spacing w:after="60" w:line="264" w:lineRule="auto"/>
        <w:rPr>
          <w:rFonts w:cstheme="minorHAnsi"/>
        </w:rPr>
      </w:pPr>
      <w:r w:rsidRPr="00153EF8">
        <w:rPr>
          <w:b/>
          <w:bCs/>
          <w:color w:val="000000" w:themeColor="text1"/>
        </w:rPr>
        <w:t xml:space="preserve">. Revenue vs Revenue SPLY Line </w:t>
      </w:r>
      <w:r w:rsidRPr="00153EF8">
        <w:rPr>
          <w:rFonts w:cstheme="minorHAnsi"/>
          <w:b/>
          <w:bCs/>
          <w:i/>
          <w:iCs/>
          <w:color w:val="000000" w:themeColor="text1"/>
        </w:rPr>
        <w:t>–</w:t>
      </w:r>
      <w:r w:rsidR="00153EF8" w:rsidRPr="00153EF8">
        <w:rPr>
          <w:rFonts w:cstheme="minorHAnsi"/>
          <w:b/>
          <w:bCs/>
          <w:i/>
          <w:iCs/>
          <w:color w:val="000000" w:themeColor="text1"/>
        </w:rPr>
        <w:t xml:space="preserve"> </w:t>
      </w:r>
      <w:r w:rsidR="00153EF8" w:rsidRPr="00153EF8">
        <w:rPr>
          <w:rFonts w:eastAsia="Arial" w:cstheme="minorHAnsi"/>
        </w:rPr>
        <w:t>makes the Board’s “flat revenue” concern visible (£125.4m → £122.3m).</w:t>
      </w:r>
    </w:p>
    <w:p w14:paraId="5E292DFE" w14:textId="43C3E879" w:rsidR="009750C7" w:rsidRDefault="00153EF8">
      <w:pPr>
        <w:rPr>
          <w:color w:val="000000" w:themeColor="text1"/>
        </w:rPr>
      </w:pPr>
      <w:r>
        <w:rPr>
          <w:rFonts w:cstheme="minorHAnsi"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. Field-</w:t>
      </w:r>
      <w:r w:rsidRPr="00153EF8">
        <w:rPr>
          <w:b/>
          <w:bCs/>
          <w:color w:val="000000" w:themeColor="text1"/>
        </w:rPr>
        <w:t>parameter</w:t>
      </w:r>
      <w:r>
        <w:rPr>
          <w:b/>
          <w:bCs/>
          <w:color w:val="000000" w:themeColor="text1"/>
        </w:rPr>
        <w:t xml:space="preserve"> slicer – </w:t>
      </w:r>
      <w:r>
        <w:rPr>
          <w:color w:val="000000" w:themeColor="text1"/>
        </w:rPr>
        <w:t xml:space="preserve">Switch the headline metric without adding visuals; keeps the page uncluttered. </w:t>
      </w:r>
    </w:p>
    <w:p w14:paraId="7B5AD6B6" w14:textId="580B8892" w:rsidR="00153EF8" w:rsidRDefault="00153EF8">
      <w:pPr>
        <w:rPr>
          <w:color w:val="FFC000" w:themeColor="accent4"/>
          <w:u w:val="single"/>
        </w:rPr>
      </w:pPr>
      <w:r w:rsidRPr="00153EF8">
        <w:rPr>
          <w:b/>
          <w:bCs/>
          <w:color w:val="FFC000" w:themeColor="accent4"/>
          <w:highlight w:val="black"/>
        </w:rPr>
        <w:t xml:space="preserve">Page 2. Store Performance &amp; Ranking   </w:t>
      </w:r>
      <w:r w:rsidRPr="00153EF8">
        <w:rPr>
          <w:color w:val="FFC000" w:themeColor="accent4"/>
          <w:highlight w:val="black"/>
          <w:u w:val="single"/>
        </w:rPr>
        <w:t>Commercial Director</w:t>
      </w:r>
    </w:p>
    <w:p w14:paraId="19372283" w14:textId="13AB61B9" w:rsidR="00153EF8" w:rsidRDefault="00153EF8">
      <w:pPr>
        <w:rPr>
          <w:color w:val="000000" w:themeColor="text1"/>
        </w:rPr>
      </w:pPr>
      <w:r w:rsidRPr="00331589">
        <w:rPr>
          <w:b/>
          <w:bCs/>
          <w:color w:val="000000" w:themeColor="text1"/>
        </w:rPr>
        <w:t>.</w:t>
      </w:r>
      <w:r w:rsidR="00331589" w:rsidRPr="00331589">
        <w:rPr>
          <w:b/>
          <w:bCs/>
          <w:color w:val="000000" w:themeColor="text1"/>
        </w:rPr>
        <w:t xml:space="preserve"> </w:t>
      </w:r>
      <w:r w:rsidRPr="00331589">
        <w:rPr>
          <w:b/>
          <w:bCs/>
          <w:color w:val="000000" w:themeColor="text1"/>
        </w:rPr>
        <w:t xml:space="preserve">RANKX table with company rank + region rank + bottom-quartile flag </w:t>
      </w:r>
      <w:r w:rsidR="00331589">
        <w:rPr>
          <w:b/>
          <w:bCs/>
          <w:color w:val="000000" w:themeColor="text1"/>
        </w:rPr>
        <w:t xml:space="preserve">– </w:t>
      </w:r>
      <w:r w:rsidR="00331589">
        <w:rPr>
          <w:color w:val="000000" w:themeColor="text1"/>
        </w:rPr>
        <w:t>rankings that are “meaningful, not just total revenue”.</w:t>
      </w:r>
    </w:p>
    <w:p w14:paraId="034A3050" w14:textId="579B3081" w:rsidR="00331589" w:rsidRDefault="0033158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. Region rank uses ALL EXCEPT (Store, </w:t>
      </w:r>
      <w:r w:rsidRPr="00331589">
        <w:rPr>
          <w:color w:val="000000" w:themeColor="text1"/>
        </w:rPr>
        <w:t>Stores</w:t>
      </w:r>
      <w:r>
        <w:rPr>
          <w:b/>
          <w:bCs/>
          <w:color w:val="000000" w:themeColor="text1"/>
        </w:rPr>
        <w:t xml:space="preserve">[region])- </w:t>
      </w:r>
      <w:r>
        <w:rPr>
          <w:color w:val="000000" w:themeColor="text1"/>
        </w:rPr>
        <w:t>a small-region store isn’t judged against large regions</w:t>
      </w:r>
    </w:p>
    <w:p w14:paraId="6B144D1C" w14:textId="2CEFB0BF" w:rsidR="00331589" w:rsidRDefault="00331589">
      <w:pPr>
        <w:rPr>
          <w:color w:val="000000" w:themeColor="text1"/>
        </w:rPr>
      </w:pPr>
      <w:r>
        <w:rPr>
          <w:b/>
          <w:bCs/>
          <w:color w:val="000000" w:themeColor="text1"/>
        </w:rPr>
        <w:t xml:space="preserve">. Brand &amp; region slicers + drill-through + report-page tooltip- </w:t>
      </w:r>
      <w:r>
        <w:rPr>
          <w:color w:val="000000" w:themeColor="text1"/>
        </w:rPr>
        <w:t>like-for-like filtering and detail on demand without leaving the page</w:t>
      </w:r>
    </w:p>
    <w:p w14:paraId="36EF9C13" w14:textId="60560AA0" w:rsidR="00331589" w:rsidRDefault="00331589">
      <w:pPr>
        <w:rPr>
          <w:b/>
          <w:bCs/>
          <w:color w:val="FFC000" w:themeColor="accent4"/>
        </w:rPr>
      </w:pPr>
      <w:r w:rsidRPr="00331589">
        <w:rPr>
          <w:b/>
          <w:bCs/>
          <w:color w:val="FFC000" w:themeColor="accent4"/>
          <w:highlight w:val="black"/>
        </w:rPr>
        <w:t xml:space="preserve">Page 3. Margin &amp;Category Analysis   </w:t>
      </w:r>
      <w:r w:rsidRPr="00331589">
        <w:rPr>
          <w:b/>
          <w:bCs/>
          <w:color w:val="FFC000" w:themeColor="accent4"/>
          <w:highlight w:val="black"/>
          <w:u w:val="single"/>
        </w:rPr>
        <w:t>CFO &amp; Head of Merchandising</w:t>
      </w:r>
      <w:r w:rsidRPr="00331589">
        <w:rPr>
          <w:b/>
          <w:bCs/>
          <w:color w:val="FFC000" w:themeColor="accent4"/>
          <w:u w:val="single"/>
        </w:rPr>
        <w:t xml:space="preserve"> </w:t>
      </w:r>
    </w:p>
    <w:p w14:paraId="33BEF56C" w14:textId="64F1C0CF" w:rsidR="00331589" w:rsidRDefault="00915B19">
      <w:pPr>
        <w:rPr>
          <w:color w:val="000000" w:themeColor="text1"/>
        </w:rPr>
      </w:pPr>
      <w:r>
        <w:rPr>
          <w:b/>
          <w:bCs/>
          <w:color w:val="000000" w:themeColor="text1"/>
        </w:rPr>
        <w:t xml:space="preserve">. </w:t>
      </w:r>
      <w:r w:rsidRPr="00915B19">
        <w:rPr>
          <w:b/>
          <w:bCs/>
          <w:color w:val="000000" w:themeColor="text1"/>
        </w:rPr>
        <w:t>Rolling 3-Month margin by Category-</w:t>
      </w:r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>Shows seasonal patterns rather than a point-in-time snapshot</w:t>
      </w:r>
    </w:p>
    <w:p w14:paraId="7CF69E2D" w14:textId="50190774" w:rsidR="00915B19" w:rsidRDefault="00915B19">
      <w:pPr>
        <w:rPr>
          <w:color w:val="000000" w:themeColor="text1"/>
        </w:rPr>
      </w:pPr>
      <w:r w:rsidRPr="00915B19">
        <w:rPr>
          <w:b/>
          <w:bCs/>
          <w:color w:val="000000" w:themeColor="text1"/>
        </w:rPr>
        <w:t xml:space="preserve">. Category margin vs benchmark bar </w:t>
      </w:r>
      <w:r>
        <w:rPr>
          <w:b/>
          <w:bCs/>
          <w:color w:val="000000" w:themeColor="text1"/>
        </w:rPr>
        <w:t>–</w:t>
      </w:r>
      <w:r w:rsidRPr="00915B19"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 xml:space="preserve">exposes the consistent ~0.5 ppt shortfall across all categories. </w:t>
      </w:r>
    </w:p>
    <w:p w14:paraId="0ACC8552" w14:textId="54DB9E5A" w:rsidR="00915B19" w:rsidRDefault="00915B19">
      <w:pPr>
        <w:rPr>
          <w:color w:val="000000" w:themeColor="text1"/>
        </w:rPr>
      </w:pPr>
      <w:r w:rsidRPr="00915B19">
        <w:rPr>
          <w:b/>
          <w:bCs/>
          <w:color w:val="000000" w:themeColor="text1"/>
        </w:rPr>
        <w:t>.</w:t>
      </w:r>
      <w:r>
        <w:rPr>
          <w:b/>
          <w:bCs/>
          <w:color w:val="000000" w:themeColor="text1"/>
        </w:rPr>
        <w:t xml:space="preserve"> </w:t>
      </w:r>
      <w:r w:rsidRPr="00915B19">
        <w:rPr>
          <w:b/>
          <w:bCs/>
          <w:color w:val="000000" w:themeColor="text1"/>
        </w:rPr>
        <w:t xml:space="preserve">What-If “Margin Improvement %” slicer </w:t>
      </w:r>
      <w:r>
        <w:rPr>
          <w:b/>
          <w:bCs/>
          <w:color w:val="000000" w:themeColor="text1"/>
        </w:rPr>
        <w:t xml:space="preserve">– </w:t>
      </w:r>
      <w:r>
        <w:rPr>
          <w:color w:val="000000" w:themeColor="text1"/>
        </w:rPr>
        <w:t>lets the CFO simulate a margin uplift live.</w:t>
      </w:r>
    </w:p>
    <w:p w14:paraId="06881789" w14:textId="202FCB0E" w:rsidR="00915B19" w:rsidRDefault="00915B19">
      <w:pPr>
        <w:rPr>
          <w:b/>
          <w:bCs/>
          <w:i/>
          <w:iCs/>
          <w:color w:val="FFC000" w:themeColor="accent4"/>
          <w:u w:val="single"/>
        </w:rPr>
      </w:pPr>
      <w:r w:rsidRPr="00915B19">
        <w:rPr>
          <w:b/>
          <w:bCs/>
          <w:color w:val="FFC000" w:themeColor="accent4"/>
          <w:highlight w:val="black"/>
        </w:rPr>
        <w:t>Page 4.</w:t>
      </w:r>
      <w:r>
        <w:rPr>
          <w:b/>
          <w:bCs/>
          <w:color w:val="FFC000" w:themeColor="accent4"/>
          <w:highlight w:val="black"/>
        </w:rPr>
        <w:t xml:space="preserve"> </w:t>
      </w:r>
      <w:r w:rsidRPr="00915B19">
        <w:rPr>
          <w:b/>
          <w:bCs/>
          <w:color w:val="FFC000" w:themeColor="accent4"/>
          <w:highlight w:val="black"/>
        </w:rPr>
        <w:t>Enterprise Zone Before</w:t>
      </w:r>
      <w:r>
        <w:rPr>
          <w:b/>
          <w:bCs/>
          <w:color w:val="FFC000" w:themeColor="accent4"/>
          <w:highlight w:val="black"/>
        </w:rPr>
        <w:t xml:space="preserve"> </w:t>
      </w:r>
      <w:r w:rsidRPr="00915B19">
        <w:rPr>
          <w:b/>
          <w:bCs/>
          <w:color w:val="FFC000" w:themeColor="accent4"/>
          <w:highlight w:val="black"/>
        </w:rPr>
        <w:t>&amp;</w:t>
      </w:r>
      <w:r>
        <w:rPr>
          <w:b/>
          <w:bCs/>
          <w:color w:val="FFC000" w:themeColor="accent4"/>
          <w:highlight w:val="black"/>
        </w:rPr>
        <w:t xml:space="preserve"> </w:t>
      </w:r>
      <w:r w:rsidR="00693A63" w:rsidRPr="00915B19">
        <w:rPr>
          <w:b/>
          <w:bCs/>
          <w:color w:val="FFC000" w:themeColor="accent4"/>
          <w:highlight w:val="black"/>
        </w:rPr>
        <w:t xml:space="preserve">After </w:t>
      </w:r>
      <w:r w:rsidR="00693A63">
        <w:rPr>
          <w:b/>
          <w:bCs/>
          <w:color w:val="FFC000" w:themeColor="accent4"/>
          <w:highlight w:val="black"/>
        </w:rPr>
        <w:t>commercial</w:t>
      </w:r>
      <w:r w:rsidRPr="00915B19">
        <w:rPr>
          <w:b/>
          <w:bCs/>
          <w:i/>
          <w:iCs/>
          <w:color w:val="FFC000" w:themeColor="accent4"/>
          <w:highlight w:val="black"/>
          <w:u w:val="single"/>
        </w:rPr>
        <w:t xml:space="preserve"> director &amp; Finance Director</w:t>
      </w:r>
    </w:p>
    <w:p w14:paraId="29A18939" w14:textId="04D67910" w:rsidR="00915B19" w:rsidRDefault="00693A63">
      <w:pPr>
        <w:rPr>
          <w:color w:val="000000" w:themeColor="text1"/>
        </w:rPr>
      </w:pPr>
      <w:r>
        <w:rPr>
          <w:b/>
          <w:bCs/>
          <w:color w:val="000000" w:themeColor="text1"/>
        </w:rPr>
        <w:t xml:space="preserve">. </w:t>
      </w:r>
      <w:r w:rsidR="00915B19" w:rsidRPr="00693A63">
        <w:rPr>
          <w:b/>
          <w:bCs/>
          <w:color w:val="000000" w:themeColor="text1"/>
        </w:rPr>
        <w:t xml:space="preserve">Bookmark toggle (Before </w:t>
      </w:r>
      <w:r w:rsidRPr="00693A63">
        <w:rPr>
          <w:b/>
          <w:bCs/>
          <w:color w:val="000000" w:themeColor="text1"/>
        </w:rPr>
        <w:t>/ After)-</w:t>
      </w:r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>one click switches the same table between raw and EZ-adjusted ranks.</w:t>
      </w:r>
    </w:p>
    <w:p w14:paraId="18689A08" w14:textId="171AFE5B" w:rsidR="00693A63" w:rsidRDefault="00693A63">
      <w:pPr>
        <w:rPr>
          <w:color w:val="000000" w:themeColor="text1"/>
        </w:rPr>
      </w:pPr>
      <w:r w:rsidRPr="00693A63">
        <w:rPr>
          <w:b/>
          <w:bCs/>
          <w:color w:val="000000" w:themeColor="text1"/>
        </w:rPr>
        <w:t>.</w:t>
      </w:r>
      <w:r>
        <w:rPr>
          <w:b/>
          <w:bCs/>
          <w:color w:val="000000" w:themeColor="text1"/>
        </w:rPr>
        <w:t xml:space="preserve"> </w:t>
      </w:r>
      <w:r w:rsidRPr="00693A63">
        <w:rPr>
          <w:b/>
          <w:bCs/>
          <w:color w:val="000000" w:themeColor="text1"/>
        </w:rPr>
        <w:t xml:space="preserve">Conditional formatting on rank change (green = improved) </w:t>
      </w:r>
      <w:r>
        <w:rPr>
          <w:b/>
          <w:bCs/>
          <w:color w:val="000000" w:themeColor="text1"/>
        </w:rPr>
        <w:t>–</w:t>
      </w:r>
      <w:r w:rsidRPr="00693A63"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>the six reclassified stores stand out instantly.</w:t>
      </w:r>
    </w:p>
    <w:p w14:paraId="26C64599" w14:textId="5F1690F0" w:rsidR="00693A63" w:rsidRDefault="00693A63">
      <w:pPr>
        <w:rPr>
          <w:color w:val="000000" w:themeColor="text1"/>
        </w:rPr>
      </w:pPr>
      <w:r w:rsidRPr="00693A63">
        <w:rPr>
          <w:b/>
          <w:bCs/>
          <w:color w:val="000000" w:themeColor="text1"/>
        </w:rPr>
        <w:t>.</w:t>
      </w:r>
      <w:r>
        <w:rPr>
          <w:b/>
          <w:bCs/>
          <w:color w:val="000000" w:themeColor="text1"/>
        </w:rPr>
        <w:t xml:space="preserve"> </w:t>
      </w:r>
      <w:r w:rsidRPr="00693A63">
        <w:rPr>
          <w:b/>
          <w:bCs/>
          <w:color w:val="000000" w:themeColor="text1"/>
        </w:rPr>
        <w:t xml:space="preserve">Narrative annotation </w:t>
      </w:r>
      <w:r>
        <w:rPr>
          <w:b/>
          <w:bCs/>
          <w:color w:val="000000" w:themeColor="text1"/>
        </w:rPr>
        <w:t>–</w:t>
      </w:r>
      <w:r>
        <w:rPr>
          <w:color w:val="000000" w:themeColor="text1"/>
        </w:rPr>
        <w:t xml:space="preserve"> explains the relief so the decision is self-documenting.</w:t>
      </w:r>
    </w:p>
    <w:p w14:paraId="4A3089A5" w14:textId="636A903B" w:rsidR="00693A63" w:rsidRPr="0037294C" w:rsidRDefault="00693A63">
      <w:pPr>
        <w:rPr>
          <w:b/>
          <w:bCs/>
          <w:color w:val="000000" w:themeColor="text1"/>
        </w:rPr>
      </w:pPr>
      <w:r w:rsidRPr="00693A63">
        <w:rPr>
          <w:b/>
          <w:bCs/>
          <w:color w:val="FFC000" w:themeColor="accent4"/>
          <w:highlight w:val="black"/>
        </w:rPr>
        <w:lastRenderedPageBreak/>
        <w:t>Page 5. Store Detail (Drill-Through) –</w:t>
      </w:r>
      <w:r w:rsidRPr="00693A63">
        <w:rPr>
          <w:color w:val="FFC000" w:themeColor="accent4"/>
          <w:highlight w:val="black"/>
        </w:rPr>
        <w:t xml:space="preserve"> </w:t>
      </w:r>
      <w:r w:rsidRPr="00693A63">
        <w:rPr>
          <w:i/>
          <w:iCs/>
          <w:color w:val="FFC000" w:themeColor="accent4"/>
          <w:highlight w:val="black"/>
          <w:u w:val="single"/>
        </w:rPr>
        <w:t xml:space="preserve">All stakeholders on </w:t>
      </w:r>
      <w:proofErr w:type="gramStart"/>
      <w:r w:rsidRPr="00693A63">
        <w:rPr>
          <w:i/>
          <w:iCs/>
          <w:color w:val="FFC000" w:themeColor="accent4"/>
          <w:highlight w:val="black"/>
          <w:u w:val="single"/>
        </w:rPr>
        <w:t>demand</w:t>
      </w:r>
      <w:r w:rsidRPr="00693A63">
        <w:rPr>
          <w:color w:val="FFC000" w:themeColor="accent4"/>
        </w:rPr>
        <w:t xml:space="preserve"> </w:t>
      </w:r>
      <w:r>
        <w:rPr>
          <w:b/>
          <w:bCs/>
          <w:color w:val="000000" w:themeColor="text1"/>
        </w:rPr>
        <w:t>.</w:t>
      </w:r>
      <w:proofErr w:type="gramEnd"/>
      <w:r w:rsidR="00913380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 xml:space="preserve">Reached by right-click drill-through, filtered to one store – </w:t>
      </w:r>
      <w:r>
        <w:rPr>
          <w:color w:val="000000" w:themeColor="text1"/>
        </w:rPr>
        <w:t>detail without cluttering summary pages</w:t>
      </w:r>
      <w:r w:rsidR="00913380">
        <w:rPr>
          <w:color w:val="000000" w:themeColor="text1"/>
        </w:rPr>
        <w:t>.</w:t>
      </w:r>
    </w:p>
    <w:p w14:paraId="6F27A927" w14:textId="56CA4233" w:rsidR="00913380" w:rsidRDefault="00913380">
      <w:pPr>
        <w:rPr>
          <w:color w:val="000000" w:themeColor="text1"/>
        </w:rPr>
      </w:pPr>
      <w:r>
        <w:rPr>
          <w:b/>
          <w:bCs/>
          <w:color w:val="000000" w:themeColor="text1"/>
        </w:rPr>
        <w:t xml:space="preserve">. </w:t>
      </w:r>
      <w:r>
        <w:rPr>
          <w:color w:val="000000" w:themeColor="text1"/>
        </w:rPr>
        <w:t>24-month revenue/profit trend, revenue by category, Revenue vs Target KPI, store metadata, Back button.</w:t>
      </w:r>
    </w:p>
    <w:p w14:paraId="2D07F96D" w14:textId="49F4FE3D" w:rsidR="00913380" w:rsidRDefault="00913380">
      <w:pPr>
        <w:rPr>
          <w:color w:val="000000" w:themeColor="text1"/>
        </w:rPr>
      </w:pPr>
      <w:r>
        <w:rPr>
          <w:b/>
          <w:bCs/>
          <w:color w:val="000000" w:themeColor="text1"/>
        </w:rPr>
        <w:t xml:space="preserve">. Cross-cutting: </w:t>
      </w:r>
      <w:r>
        <w:rPr>
          <w:color w:val="000000" w:themeColor="text1"/>
        </w:rPr>
        <w:t xml:space="preserve">six RLS roles so each Regional Manager sees only their region; every has a title + one insights annotation; All measures use </w:t>
      </w:r>
      <w:proofErr w:type="gramStart"/>
      <w:r>
        <w:rPr>
          <w:color w:val="000000" w:themeColor="text1"/>
        </w:rPr>
        <w:t>VAR..</w:t>
      </w:r>
      <w:proofErr w:type="gramEnd"/>
      <w:r>
        <w:rPr>
          <w:color w:val="000000" w:themeColor="text1"/>
        </w:rPr>
        <w:t xml:space="preserve"> RETURN.</w:t>
      </w:r>
    </w:p>
    <w:p w14:paraId="57FFAC28" w14:textId="77777777" w:rsidR="0037294C" w:rsidRDefault="0037294C">
      <w:pPr>
        <w:rPr>
          <w:b/>
          <w:bCs/>
          <w:color w:val="000000" w:themeColor="text1"/>
        </w:rPr>
      </w:pPr>
    </w:p>
    <w:p w14:paraId="46E1A88A" w14:textId="0A2C13C9" w:rsidR="00913380" w:rsidRDefault="00913380">
      <w:pPr>
        <w:rPr>
          <w:b/>
          <w:bCs/>
          <w:color w:val="000000" w:themeColor="text1"/>
        </w:rPr>
      </w:pPr>
      <w:r w:rsidRPr="00913380">
        <w:rPr>
          <w:b/>
          <w:bCs/>
          <w:color w:val="000000" w:themeColor="text1"/>
        </w:rPr>
        <w:t>Part 2 – one insight per stakeholder (What / So What / Now What)</w:t>
      </w:r>
    </w:p>
    <w:p w14:paraId="5931BF01" w14:textId="29B718DA" w:rsidR="00913380" w:rsidRDefault="00913380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Commercial Director</w:t>
      </w:r>
    </w:p>
    <w:tbl>
      <w:tblPr>
        <w:tblStyle w:val="TableGrid"/>
        <w:tblW w:w="9952" w:type="dxa"/>
        <w:tblLook w:val="04A0" w:firstRow="1" w:lastRow="0" w:firstColumn="1" w:lastColumn="0" w:noHBand="0" w:noVBand="1"/>
      </w:tblPr>
      <w:tblGrid>
        <w:gridCol w:w="1615"/>
        <w:gridCol w:w="8337"/>
      </w:tblGrid>
      <w:tr w:rsidR="00913380" w14:paraId="35FF6C36" w14:textId="77777777" w:rsidTr="00F9241E">
        <w:trPr>
          <w:trHeight w:val="467"/>
        </w:trPr>
        <w:tc>
          <w:tcPr>
            <w:tcW w:w="1615" w:type="dxa"/>
          </w:tcPr>
          <w:p w14:paraId="7C94D01B" w14:textId="77777777" w:rsidR="00913380" w:rsidRDefault="00913380">
            <w:pPr>
              <w:rPr>
                <w:color w:val="000000" w:themeColor="text1"/>
              </w:rPr>
            </w:pPr>
          </w:p>
          <w:p w14:paraId="65F07DC9" w14:textId="48F0F314" w:rsidR="00913380" w:rsidRDefault="00913380" w:rsidP="00F9241E">
            <w:pPr>
              <w:jc w:val="center"/>
              <w:rPr>
                <w:color w:val="000000" w:themeColor="text1"/>
              </w:rPr>
            </w:pPr>
            <w:r w:rsidRPr="00913380">
              <w:rPr>
                <w:color w:val="2F5496" w:themeColor="accent1" w:themeShade="BF"/>
              </w:rPr>
              <w:t>What</w:t>
            </w:r>
          </w:p>
        </w:tc>
        <w:tc>
          <w:tcPr>
            <w:tcW w:w="8337" w:type="dxa"/>
          </w:tcPr>
          <w:p w14:paraId="055A2EA2" w14:textId="48700B6E" w:rsidR="00913380" w:rsidRDefault="00F9241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Six Enterprise Zone ranked in their region’s bottom quartile on raw margin (~30%)</w:t>
            </w:r>
          </w:p>
          <w:p w14:paraId="56167125" w14:textId="0D735E18" w:rsidR="00F9241E" w:rsidRDefault="00F9241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-they looked like closure candidates.</w:t>
            </w:r>
          </w:p>
        </w:tc>
      </w:tr>
      <w:tr w:rsidR="00913380" w14:paraId="7BA55694" w14:textId="77777777" w:rsidTr="00913380">
        <w:trPr>
          <w:trHeight w:val="477"/>
        </w:trPr>
        <w:tc>
          <w:tcPr>
            <w:tcW w:w="1615" w:type="dxa"/>
          </w:tcPr>
          <w:p w14:paraId="6F07ABC8" w14:textId="77777777" w:rsidR="00913380" w:rsidRDefault="00913380">
            <w:pPr>
              <w:rPr>
                <w:color w:val="000000" w:themeColor="text1"/>
              </w:rPr>
            </w:pPr>
          </w:p>
          <w:p w14:paraId="22E7304E" w14:textId="681CA7C0" w:rsidR="00913380" w:rsidRDefault="00913380" w:rsidP="00F9241E">
            <w:pPr>
              <w:jc w:val="center"/>
              <w:rPr>
                <w:color w:val="000000" w:themeColor="text1"/>
              </w:rPr>
            </w:pPr>
            <w:proofErr w:type="gramStart"/>
            <w:r w:rsidRPr="00913380">
              <w:rPr>
                <w:color w:val="FFC000" w:themeColor="accent4"/>
              </w:rPr>
              <w:t>So</w:t>
            </w:r>
            <w:proofErr w:type="gramEnd"/>
            <w:r w:rsidRPr="00913380">
              <w:rPr>
                <w:color w:val="FFC000" w:themeColor="accent4"/>
              </w:rPr>
              <w:t xml:space="preserve"> What</w:t>
            </w:r>
          </w:p>
        </w:tc>
        <w:tc>
          <w:tcPr>
            <w:tcW w:w="8337" w:type="dxa"/>
          </w:tcPr>
          <w:p w14:paraId="1A34EE44" w14:textId="06A0C5D5" w:rsidR="00913380" w:rsidRDefault="00F9241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Once 14-22% tax relief is applied, all six jump to the top of their </w:t>
            </w:r>
            <w:proofErr w:type="gramStart"/>
            <w:r>
              <w:rPr>
                <w:color w:val="000000" w:themeColor="text1"/>
              </w:rPr>
              <w:t>region(</w:t>
            </w:r>
            <w:proofErr w:type="gramEnd"/>
            <w:r>
              <w:rPr>
                <w:color w:val="000000" w:themeColor="text1"/>
              </w:rPr>
              <w:t>margins ~40-44%); closing them would have removed the most profitable sites.</w:t>
            </w:r>
          </w:p>
        </w:tc>
      </w:tr>
      <w:tr w:rsidR="00913380" w14:paraId="4C7CA482" w14:textId="77777777" w:rsidTr="00913380">
        <w:trPr>
          <w:trHeight w:val="497"/>
        </w:trPr>
        <w:tc>
          <w:tcPr>
            <w:tcW w:w="1615" w:type="dxa"/>
          </w:tcPr>
          <w:p w14:paraId="028C3E7F" w14:textId="77777777" w:rsidR="00913380" w:rsidRDefault="00913380">
            <w:pPr>
              <w:rPr>
                <w:color w:val="000000" w:themeColor="text1"/>
              </w:rPr>
            </w:pPr>
          </w:p>
          <w:p w14:paraId="10F76E98" w14:textId="677B85F4" w:rsidR="00913380" w:rsidRDefault="00913380" w:rsidP="00F9241E">
            <w:pPr>
              <w:jc w:val="center"/>
              <w:rPr>
                <w:color w:val="000000" w:themeColor="text1"/>
              </w:rPr>
            </w:pPr>
            <w:r w:rsidRPr="00F9241E">
              <w:rPr>
                <w:color w:val="70AD47" w:themeColor="accent6"/>
              </w:rPr>
              <w:t>Now What</w:t>
            </w:r>
          </w:p>
        </w:tc>
        <w:tc>
          <w:tcPr>
            <w:tcW w:w="8337" w:type="dxa"/>
          </w:tcPr>
          <w:p w14:paraId="65331112" w14:textId="77777777" w:rsidR="00913380" w:rsidRDefault="00F9241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Rank on EZ-adjusted margin before any closure call, and target investment using region- relative rankings (ALLEXCEPT), not company-wide totals. </w:t>
            </w:r>
          </w:p>
          <w:p w14:paraId="7F5A7663" w14:textId="4C1C2E27" w:rsidR="002550FB" w:rsidRDefault="002550FB">
            <w:pPr>
              <w:rPr>
                <w:color w:val="000000" w:themeColor="text1"/>
              </w:rPr>
            </w:pPr>
          </w:p>
        </w:tc>
      </w:tr>
    </w:tbl>
    <w:p w14:paraId="3DBDA1D8" w14:textId="7A491373" w:rsidR="00913380" w:rsidRDefault="002550F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</w:t>
      </w:r>
      <w:r w:rsidR="00F9241E">
        <w:rPr>
          <w:b/>
          <w:bCs/>
          <w:color w:val="000000" w:themeColor="text1"/>
        </w:rPr>
        <w:t>CFO</w:t>
      </w:r>
      <w:r>
        <w:rPr>
          <w:b/>
          <w:bCs/>
          <w:color w:val="000000" w:themeColor="text1"/>
        </w:rPr>
        <w:t xml:space="preserve"> </w:t>
      </w:r>
    </w:p>
    <w:tbl>
      <w:tblPr>
        <w:tblStyle w:val="TableGrid"/>
        <w:tblW w:w="9854" w:type="dxa"/>
        <w:tblLook w:val="04A0" w:firstRow="1" w:lastRow="0" w:firstColumn="1" w:lastColumn="0" w:noHBand="0" w:noVBand="1"/>
      </w:tblPr>
      <w:tblGrid>
        <w:gridCol w:w="1615"/>
        <w:gridCol w:w="8239"/>
      </w:tblGrid>
      <w:tr w:rsidR="00F9241E" w14:paraId="5E904DAC" w14:textId="77777777" w:rsidTr="00F9241E">
        <w:trPr>
          <w:trHeight w:val="700"/>
        </w:trPr>
        <w:tc>
          <w:tcPr>
            <w:tcW w:w="1615" w:type="dxa"/>
          </w:tcPr>
          <w:p w14:paraId="433F76C1" w14:textId="6D70ED37" w:rsidR="00F9241E" w:rsidRPr="00F9241E" w:rsidRDefault="00F9241E" w:rsidP="00F9241E">
            <w:pPr>
              <w:jc w:val="center"/>
              <w:rPr>
                <w:color w:val="000000" w:themeColor="text1"/>
              </w:rPr>
            </w:pPr>
            <w:r w:rsidRPr="00F9241E">
              <w:rPr>
                <w:color w:val="2E74B5" w:themeColor="accent5" w:themeShade="BF"/>
              </w:rPr>
              <w:t>What</w:t>
            </w:r>
          </w:p>
        </w:tc>
        <w:tc>
          <w:tcPr>
            <w:tcW w:w="8239" w:type="dxa"/>
          </w:tcPr>
          <w:p w14:paraId="74BBAAB1" w14:textId="1034904E" w:rsidR="00F9241E" w:rsidRPr="00F9241E" w:rsidRDefault="00F9241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Blended gross margin held at ~34.5%from to 2024 (+0.04</w:t>
            </w:r>
            <w:r w:rsidR="002550FB">
              <w:rPr>
                <w:color w:val="000000" w:themeColor="text1"/>
              </w:rPr>
              <w:t xml:space="preserve"> ppts) despite revenue dipping </w:t>
            </w:r>
            <w:r w:rsidR="002550FB" w:rsidRPr="002550FB">
              <w:rPr>
                <w:rFonts w:cstheme="minorHAnsi"/>
                <w:color w:val="000000" w:themeColor="text1"/>
              </w:rPr>
              <w:t>(</w:t>
            </w:r>
            <w:r w:rsidR="002550FB" w:rsidRPr="002550FB">
              <w:rPr>
                <w:rFonts w:eastAsia="Arial" w:cstheme="minorHAnsi"/>
              </w:rPr>
              <w:t>(£125.4m → £122.3m</w:t>
            </w:r>
            <w:r w:rsidR="002550FB" w:rsidRPr="002550FB">
              <w:rPr>
                <w:rFonts w:eastAsia="Arial" w:cstheme="minorHAnsi"/>
              </w:rPr>
              <w:t>)</w:t>
            </w:r>
            <w:r w:rsidR="002550FB">
              <w:rPr>
                <w:rFonts w:eastAsia="Arial" w:cstheme="minorHAnsi"/>
              </w:rPr>
              <w:t>.</w:t>
            </w:r>
          </w:p>
        </w:tc>
      </w:tr>
      <w:tr w:rsidR="00F9241E" w14:paraId="19880C1D" w14:textId="77777777" w:rsidTr="00F9241E">
        <w:trPr>
          <w:trHeight w:val="700"/>
        </w:trPr>
        <w:tc>
          <w:tcPr>
            <w:tcW w:w="1615" w:type="dxa"/>
          </w:tcPr>
          <w:p w14:paraId="7C9718D2" w14:textId="77777777" w:rsidR="00F9241E" w:rsidRDefault="00F9241E">
            <w:pPr>
              <w:rPr>
                <w:b/>
                <w:bCs/>
                <w:color w:val="000000" w:themeColor="text1"/>
              </w:rPr>
            </w:pPr>
          </w:p>
          <w:p w14:paraId="6100A59C" w14:textId="31C50098" w:rsidR="00F9241E" w:rsidRPr="00F9241E" w:rsidRDefault="00F9241E" w:rsidP="00F9241E">
            <w:pPr>
              <w:jc w:val="center"/>
              <w:rPr>
                <w:color w:val="000000" w:themeColor="text1"/>
              </w:rPr>
            </w:pPr>
            <w:proofErr w:type="gramStart"/>
            <w:r w:rsidRPr="00F9241E">
              <w:rPr>
                <w:color w:val="FFC000" w:themeColor="accent4"/>
              </w:rPr>
              <w:t>So</w:t>
            </w:r>
            <w:proofErr w:type="gramEnd"/>
            <w:r w:rsidRPr="00F9241E">
              <w:rPr>
                <w:color w:val="FFC000" w:themeColor="accent4"/>
              </w:rPr>
              <w:t xml:space="preserve"> What</w:t>
            </w:r>
          </w:p>
        </w:tc>
        <w:tc>
          <w:tcPr>
            <w:tcW w:w="8239" w:type="dxa"/>
          </w:tcPr>
          <w:p w14:paraId="70DE419D" w14:textId="0ED28042" w:rsidR="00F9241E" w:rsidRPr="002550FB" w:rsidRDefault="002550FB">
            <w:pPr>
              <w:rPr>
                <w:rFonts w:cstheme="minorHAnsi"/>
                <w:color w:val="000000" w:themeColor="text1"/>
              </w:rPr>
            </w:pPr>
            <w:r w:rsidRPr="002550FB">
              <w:rPr>
                <w:rFonts w:eastAsia="Arial" w:cstheme="minorHAnsi"/>
              </w:rPr>
              <w:t>Margin is not compressing — the revenue plateau is a volume/mix issue, not a cost or pricing one, so no margin firefight is needed.</w:t>
            </w:r>
          </w:p>
        </w:tc>
      </w:tr>
      <w:tr w:rsidR="00F9241E" w14:paraId="34B62164" w14:textId="77777777" w:rsidTr="00F9241E">
        <w:trPr>
          <w:trHeight w:val="729"/>
        </w:trPr>
        <w:tc>
          <w:tcPr>
            <w:tcW w:w="1615" w:type="dxa"/>
          </w:tcPr>
          <w:p w14:paraId="5BE9DEA4" w14:textId="77777777" w:rsidR="00F9241E" w:rsidRDefault="00F9241E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 </w:t>
            </w:r>
          </w:p>
          <w:p w14:paraId="1345738E" w14:textId="36C7E223" w:rsidR="00F9241E" w:rsidRPr="00F9241E" w:rsidRDefault="00F9241E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  </w:t>
            </w:r>
            <w:r w:rsidRPr="00F9241E">
              <w:rPr>
                <w:color w:val="70AD47" w:themeColor="accent6"/>
              </w:rPr>
              <w:t>Now What</w:t>
            </w:r>
          </w:p>
        </w:tc>
        <w:tc>
          <w:tcPr>
            <w:tcW w:w="8239" w:type="dxa"/>
          </w:tcPr>
          <w:p w14:paraId="6A6EB8D8" w14:textId="076FA59A" w:rsidR="00F9241E" w:rsidRPr="002550FB" w:rsidRDefault="002550FB">
            <w:pPr>
              <w:rPr>
                <w:rFonts w:cstheme="minorHAnsi"/>
                <w:color w:val="000000" w:themeColor="text1"/>
              </w:rPr>
            </w:pPr>
            <w:r w:rsidRPr="002550FB">
              <w:rPr>
                <w:rFonts w:eastAsia="Arial" w:cstheme="minorHAnsi"/>
              </w:rPr>
              <w:t>Shift focus from defending margin to growing revenue (footfall, basket size); monitor low-margin Electronics/Food mix as the main lever on blended margin.</w:t>
            </w:r>
          </w:p>
        </w:tc>
      </w:tr>
    </w:tbl>
    <w:p w14:paraId="0FD9ED99" w14:textId="7531C0E7" w:rsidR="002550FB" w:rsidRDefault="002550F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Head of Merchandising</w:t>
      </w:r>
    </w:p>
    <w:tbl>
      <w:tblPr>
        <w:tblStyle w:val="TableGrid"/>
        <w:tblW w:w="9930" w:type="dxa"/>
        <w:tblLook w:val="04A0" w:firstRow="1" w:lastRow="0" w:firstColumn="1" w:lastColumn="0" w:noHBand="0" w:noVBand="1"/>
      </w:tblPr>
      <w:tblGrid>
        <w:gridCol w:w="1615"/>
        <w:gridCol w:w="8315"/>
      </w:tblGrid>
      <w:tr w:rsidR="002550FB" w14:paraId="3161D098" w14:textId="77777777" w:rsidTr="002550FB">
        <w:trPr>
          <w:trHeight w:val="670"/>
        </w:trPr>
        <w:tc>
          <w:tcPr>
            <w:tcW w:w="1615" w:type="dxa"/>
          </w:tcPr>
          <w:p w14:paraId="23F19096" w14:textId="00E561D3" w:rsidR="002550FB" w:rsidRPr="002550FB" w:rsidRDefault="002550FB" w:rsidP="002550FB">
            <w:pPr>
              <w:jc w:val="center"/>
              <w:rPr>
                <w:color w:val="FFC000" w:themeColor="accent4"/>
              </w:rPr>
            </w:pPr>
            <w:r w:rsidRPr="002550FB">
              <w:rPr>
                <w:color w:val="5B9BD5" w:themeColor="accent5"/>
              </w:rPr>
              <w:t>What</w:t>
            </w:r>
          </w:p>
        </w:tc>
        <w:tc>
          <w:tcPr>
            <w:tcW w:w="8315" w:type="dxa"/>
          </w:tcPr>
          <w:p w14:paraId="054489A9" w14:textId="15BAEE65" w:rsidR="002550FB" w:rsidRPr="002550FB" w:rsidRDefault="002550FB" w:rsidP="002550FB">
            <w:pPr>
              <w:rPr>
                <w:rFonts w:cstheme="minorHAnsi"/>
                <w:b/>
                <w:bCs/>
                <w:color w:val="000000" w:themeColor="text1"/>
              </w:rPr>
            </w:pPr>
            <w:r w:rsidRPr="002550FB">
              <w:rPr>
                <w:rFonts w:eastAsia="Arial" w:cstheme="minorHAnsi"/>
              </w:rPr>
              <w:t xml:space="preserve">Every category </w:t>
            </w:r>
            <w:r w:rsidR="0037294C" w:rsidRPr="002550FB">
              <w:rPr>
                <w:rFonts w:eastAsia="Arial" w:cstheme="minorHAnsi"/>
              </w:rPr>
              <w:t>run</w:t>
            </w:r>
            <w:r w:rsidRPr="002550FB">
              <w:rPr>
                <w:rFonts w:eastAsia="Arial" w:cstheme="minorHAnsi"/>
              </w:rPr>
              <w:t xml:space="preserve"> ~0.3–0.6 ppts below benchmark; Electronics (17.4%) and Food &amp; Drink (21.4%) are the lowest-margin categories.</w:t>
            </w:r>
          </w:p>
        </w:tc>
      </w:tr>
      <w:tr w:rsidR="002550FB" w14:paraId="00F12BBC" w14:textId="77777777" w:rsidTr="002550FB">
        <w:trPr>
          <w:trHeight w:val="670"/>
        </w:trPr>
        <w:tc>
          <w:tcPr>
            <w:tcW w:w="1615" w:type="dxa"/>
          </w:tcPr>
          <w:p w14:paraId="108C138A" w14:textId="174D8E65" w:rsidR="002550FB" w:rsidRPr="002550FB" w:rsidRDefault="002550FB" w:rsidP="002550FB">
            <w:pPr>
              <w:jc w:val="center"/>
              <w:rPr>
                <w:color w:val="000000" w:themeColor="text1"/>
              </w:rPr>
            </w:pPr>
            <w:proofErr w:type="gramStart"/>
            <w:r w:rsidRPr="002550FB">
              <w:rPr>
                <w:color w:val="FFC000" w:themeColor="accent4"/>
              </w:rPr>
              <w:t>So</w:t>
            </w:r>
            <w:proofErr w:type="gramEnd"/>
            <w:r w:rsidRPr="002550FB">
              <w:rPr>
                <w:color w:val="FFC000" w:themeColor="accent4"/>
              </w:rPr>
              <w:t xml:space="preserve"> What</w:t>
            </w:r>
          </w:p>
        </w:tc>
        <w:tc>
          <w:tcPr>
            <w:tcW w:w="8315" w:type="dxa"/>
          </w:tcPr>
          <w:p w14:paraId="68D65113" w14:textId="05FE9E84" w:rsidR="002550FB" w:rsidRPr="002550FB" w:rsidRDefault="002550FB" w:rsidP="002550FB">
            <w:pPr>
              <w:rPr>
                <w:rFonts w:cstheme="minorHAnsi"/>
                <w:b/>
                <w:bCs/>
                <w:color w:val="000000" w:themeColor="text1"/>
              </w:rPr>
            </w:pPr>
            <w:r w:rsidRPr="002550FB">
              <w:rPr>
                <w:rFonts w:eastAsia="Arial" w:cstheme="minorHAnsi"/>
              </w:rPr>
              <w:t>The gap is small but uniform across all eight categories — a systemic discount/cost leak, not one bad category, while low-margin lines dilute the blend.</w:t>
            </w:r>
          </w:p>
        </w:tc>
      </w:tr>
      <w:tr w:rsidR="002550FB" w14:paraId="5CFB7637" w14:textId="77777777" w:rsidTr="002550FB">
        <w:trPr>
          <w:trHeight w:val="698"/>
        </w:trPr>
        <w:tc>
          <w:tcPr>
            <w:tcW w:w="1615" w:type="dxa"/>
          </w:tcPr>
          <w:p w14:paraId="3F277901" w14:textId="6F20C794" w:rsidR="002550FB" w:rsidRPr="002550FB" w:rsidRDefault="002550FB" w:rsidP="002550FB">
            <w:pPr>
              <w:jc w:val="center"/>
              <w:rPr>
                <w:color w:val="000000" w:themeColor="text1"/>
              </w:rPr>
            </w:pPr>
            <w:r w:rsidRPr="002550FB">
              <w:rPr>
                <w:color w:val="70AD47" w:themeColor="accent6"/>
              </w:rPr>
              <w:t>Now What</w:t>
            </w:r>
          </w:p>
        </w:tc>
        <w:tc>
          <w:tcPr>
            <w:tcW w:w="8315" w:type="dxa"/>
          </w:tcPr>
          <w:p w14:paraId="6859ED8F" w14:textId="74745157" w:rsidR="002550FB" w:rsidRPr="0037294C" w:rsidRDefault="002550FB" w:rsidP="002550FB">
            <w:pPr>
              <w:rPr>
                <w:rFonts w:cstheme="minorHAnsi"/>
                <w:b/>
                <w:bCs/>
                <w:color w:val="000000" w:themeColor="text1"/>
              </w:rPr>
            </w:pPr>
            <w:r w:rsidRPr="0037294C">
              <w:rPr>
                <w:rFonts w:eastAsia="Arial" w:cstheme="minorHAnsi"/>
              </w:rPr>
              <w:t>Investigate the consistent benchmark gap (discounting, supplier cost) and manage mix: protect high-margin Beauty (54.7%) and Clothing (41.5%), scrutinise Electronics promotions.</w:t>
            </w:r>
          </w:p>
        </w:tc>
      </w:tr>
    </w:tbl>
    <w:p w14:paraId="1D404B66" w14:textId="77777777" w:rsidR="0037294C" w:rsidRDefault="0037294C" w:rsidP="0037294C">
      <w:pPr>
        <w:spacing w:before="160" w:after="60"/>
        <w:rPr>
          <w:rFonts w:ascii="Arial" w:eastAsia="Arial" w:hAnsi="Arial" w:cs="Arial"/>
          <w:b/>
          <w:bCs/>
          <w:color w:val="1F3A5F"/>
          <w:sz w:val="21"/>
          <w:szCs w:val="21"/>
        </w:rPr>
      </w:pPr>
      <w:r>
        <w:rPr>
          <w:rFonts w:ascii="Arial" w:eastAsia="Arial" w:hAnsi="Arial" w:cs="Arial"/>
          <w:b/>
          <w:bCs/>
          <w:color w:val="1F3A5F"/>
          <w:sz w:val="21"/>
          <w:szCs w:val="21"/>
        </w:rPr>
        <w:t xml:space="preserve">                                                                                                                                                                                                                          </w:t>
      </w:r>
    </w:p>
    <w:p w14:paraId="004599CE" w14:textId="77777777" w:rsidR="0037294C" w:rsidRDefault="0037294C" w:rsidP="0037294C">
      <w:pPr>
        <w:spacing w:before="160" w:after="60"/>
        <w:rPr>
          <w:rFonts w:ascii="Arial" w:eastAsia="Arial" w:hAnsi="Arial" w:cs="Arial"/>
          <w:b/>
          <w:bCs/>
          <w:color w:val="1F3A5F"/>
          <w:sz w:val="21"/>
          <w:szCs w:val="21"/>
        </w:rPr>
      </w:pPr>
    </w:p>
    <w:p w14:paraId="31D9B23C" w14:textId="77777777" w:rsidR="0037294C" w:rsidRDefault="0037294C" w:rsidP="0037294C">
      <w:pPr>
        <w:spacing w:before="160" w:after="60"/>
        <w:rPr>
          <w:rFonts w:ascii="Arial" w:eastAsia="Arial" w:hAnsi="Arial" w:cs="Arial"/>
          <w:b/>
          <w:bCs/>
          <w:color w:val="1F3A5F"/>
          <w:sz w:val="21"/>
          <w:szCs w:val="21"/>
        </w:rPr>
      </w:pPr>
    </w:p>
    <w:p w14:paraId="5B18371E" w14:textId="77777777" w:rsidR="0037294C" w:rsidRDefault="0037294C" w:rsidP="0037294C">
      <w:pPr>
        <w:spacing w:before="160" w:after="60"/>
        <w:rPr>
          <w:rFonts w:ascii="Arial" w:eastAsia="Arial" w:hAnsi="Arial" w:cs="Arial"/>
          <w:b/>
          <w:bCs/>
          <w:color w:val="1F3A5F"/>
          <w:sz w:val="21"/>
          <w:szCs w:val="21"/>
        </w:rPr>
      </w:pPr>
    </w:p>
    <w:p w14:paraId="7467ACBE" w14:textId="77777777" w:rsidR="0037294C" w:rsidRDefault="0037294C" w:rsidP="0037294C">
      <w:pPr>
        <w:spacing w:before="160" w:after="60"/>
        <w:rPr>
          <w:rFonts w:ascii="Arial" w:eastAsia="Arial" w:hAnsi="Arial" w:cs="Arial"/>
          <w:b/>
          <w:bCs/>
          <w:color w:val="1F3A5F"/>
          <w:sz w:val="21"/>
          <w:szCs w:val="21"/>
        </w:rPr>
      </w:pPr>
    </w:p>
    <w:p w14:paraId="5ACA3DB4" w14:textId="485AEE08" w:rsidR="0037294C" w:rsidRPr="0037294C" w:rsidRDefault="0037294C" w:rsidP="0037294C">
      <w:pPr>
        <w:spacing w:before="160" w:after="60"/>
        <w:rPr>
          <w:rFonts w:ascii="Arial" w:eastAsia="Arial" w:hAnsi="Arial" w:cs="Arial"/>
          <w:b/>
          <w:bCs/>
          <w:color w:val="1F3A5F"/>
          <w:sz w:val="21"/>
          <w:szCs w:val="21"/>
        </w:rPr>
      </w:pPr>
      <w:r>
        <w:rPr>
          <w:rFonts w:ascii="Arial" w:eastAsia="Arial" w:hAnsi="Arial" w:cs="Arial"/>
          <w:b/>
          <w:bCs/>
          <w:color w:val="1F3A5F"/>
          <w:sz w:val="21"/>
          <w:szCs w:val="21"/>
        </w:rPr>
        <w:t>Regional Managers</w:t>
      </w:r>
    </w:p>
    <w:tbl>
      <w:tblPr>
        <w:tblStyle w:val="TableGrid"/>
        <w:tblW w:w="10398" w:type="dxa"/>
        <w:tblLook w:val="04A0" w:firstRow="1" w:lastRow="0" w:firstColumn="1" w:lastColumn="0" w:noHBand="0" w:noVBand="1"/>
      </w:tblPr>
      <w:tblGrid>
        <w:gridCol w:w="1525"/>
        <w:gridCol w:w="8873"/>
      </w:tblGrid>
      <w:tr w:rsidR="0037294C" w14:paraId="573AFA33" w14:textId="77777777" w:rsidTr="0037294C">
        <w:trPr>
          <w:trHeight w:val="711"/>
        </w:trPr>
        <w:tc>
          <w:tcPr>
            <w:tcW w:w="1525" w:type="dxa"/>
          </w:tcPr>
          <w:p w14:paraId="00AB4C24" w14:textId="77777777" w:rsidR="0037294C" w:rsidRDefault="0037294C" w:rsidP="0037294C">
            <w:pPr>
              <w:jc w:val="center"/>
              <w:rPr>
                <w:color w:val="5B9BD5" w:themeColor="accent5"/>
              </w:rPr>
            </w:pPr>
          </w:p>
          <w:p w14:paraId="32E60986" w14:textId="0CC51B0C" w:rsidR="0037294C" w:rsidRPr="0037294C" w:rsidRDefault="0037294C" w:rsidP="0037294C">
            <w:pPr>
              <w:jc w:val="center"/>
              <w:rPr>
                <w:color w:val="000000" w:themeColor="text1"/>
              </w:rPr>
            </w:pPr>
            <w:r w:rsidRPr="0037294C">
              <w:rPr>
                <w:color w:val="5B9BD5" w:themeColor="accent5"/>
              </w:rPr>
              <w:t>What</w:t>
            </w:r>
          </w:p>
        </w:tc>
        <w:tc>
          <w:tcPr>
            <w:tcW w:w="8873" w:type="dxa"/>
          </w:tcPr>
          <w:p w14:paraId="7DF98D17" w14:textId="77777777" w:rsidR="0037294C" w:rsidRPr="0037294C" w:rsidRDefault="0037294C">
            <w:pPr>
              <w:rPr>
                <w:rFonts w:eastAsia="Arial" w:cstheme="minorHAnsi"/>
              </w:rPr>
            </w:pPr>
          </w:p>
          <w:p w14:paraId="3E0815D9" w14:textId="753499B4" w:rsidR="0037294C" w:rsidRPr="0037294C" w:rsidRDefault="0037294C">
            <w:pPr>
              <w:rPr>
                <w:rFonts w:cstheme="minorHAnsi"/>
                <w:b/>
                <w:bCs/>
                <w:color w:val="000000" w:themeColor="text1"/>
              </w:rPr>
            </w:pPr>
            <w:r w:rsidRPr="0037294C">
              <w:rPr>
                <w:rFonts w:eastAsia="Arial" w:cstheme="minorHAnsi"/>
              </w:rPr>
              <w:t>Every region is beating its revenue target (+4.3% to +6.2%), led by Midlands (+6.2%) and South East (+5.8%).</w:t>
            </w:r>
          </w:p>
        </w:tc>
      </w:tr>
      <w:tr w:rsidR="0037294C" w14:paraId="7C13BB27" w14:textId="77777777" w:rsidTr="0037294C">
        <w:trPr>
          <w:trHeight w:val="711"/>
        </w:trPr>
        <w:tc>
          <w:tcPr>
            <w:tcW w:w="1525" w:type="dxa"/>
          </w:tcPr>
          <w:p w14:paraId="5E69188A" w14:textId="77777777" w:rsidR="0037294C" w:rsidRDefault="0037294C">
            <w:pPr>
              <w:rPr>
                <w:b/>
                <w:bCs/>
                <w:color w:val="000000" w:themeColor="text1"/>
              </w:rPr>
            </w:pPr>
          </w:p>
          <w:p w14:paraId="0C9D649A" w14:textId="4694BE12" w:rsidR="0037294C" w:rsidRPr="0037294C" w:rsidRDefault="0037294C">
            <w:pPr>
              <w:rPr>
                <w:color w:val="000000" w:themeColor="text1"/>
              </w:rPr>
            </w:pPr>
            <w:r>
              <w:rPr>
                <w:color w:val="FFC000" w:themeColor="accent4"/>
              </w:rPr>
              <w:t xml:space="preserve">    </w:t>
            </w:r>
            <w:proofErr w:type="gramStart"/>
            <w:r w:rsidRPr="0037294C">
              <w:rPr>
                <w:color w:val="FFC000" w:themeColor="accent4"/>
              </w:rPr>
              <w:t>So</w:t>
            </w:r>
            <w:proofErr w:type="gramEnd"/>
            <w:r w:rsidRPr="0037294C">
              <w:rPr>
                <w:color w:val="FFC000" w:themeColor="accent4"/>
              </w:rPr>
              <w:t xml:space="preserve"> What</w:t>
            </w:r>
          </w:p>
        </w:tc>
        <w:tc>
          <w:tcPr>
            <w:tcW w:w="8873" w:type="dxa"/>
          </w:tcPr>
          <w:p w14:paraId="4F608A38" w14:textId="77777777" w:rsidR="0037294C" w:rsidRDefault="0037294C">
            <w:pPr>
              <w:rPr>
                <w:rFonts w:eastAsia="Arial" w:cstheme="minorHAnsi"/>
              </w:rPr>
            </w:pPr>
          </w:p>
          <w:p w14:paraId="0D2914E8" w14:textId="7745E49E" w:rsidR="0037294C" w:rsidRPr="0037294C" w:rsidRDefault="0037294C">
            <w:pPr>
              <w:rPr>
                <w:rFonts w:eastAsia="Arial" w:cstheme="minorHAnsi"/>
              </w:rPr>
            </w:pPr>
            <w:r w:rsidRPr="0037294C">
              <w:rPr>
                <w:rFonts w:eastAsia="Arial" w:cstheme="minorHAnsi"/>
              </w:rPr>
              <w:t>Strong headline numbers can mask weak individual stores, and the uniform beat suggests targets may be set conservatively.</w:t>
            </w:r>
          </w:p>
        </w:tc>
      </w:tr>
      <w:tr w:rsidR="0037294C" w14:paraId="6BC8B482" w14:textId="77777777" w:rsidTr="0037294C">
        <w:trPr>
          <w:trHeight w:val="741"/>
        </w:trPr>
        <w:tc>
          <w:tcPr>
            <w:tcW w:w="1525" w:type="dxa"/>
          </w:tcPr>
          <w:p w14:paraId="6991EA4F" w14:textId="77777777" w:rsidR="0037294C" w:rsidRDefault="0037294C">
            <w:pPr>
              <w:rPr>
                <w:b/>
                <w:bCs/>
                <w:color w:val="000000" w:themeColor="text1"/>
              </w:rPr>
            </w:pPr>
          </w:p>
          <w:p w14:paraId="1BFFD430" w14:textId="0AE05893" w:rsidR="0037294C" w:rsidRPr="0037294C" w:rsidRDefault="0037294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</w:t>
            </w:r>
            <w:r w:rsidRPr="0037294C">
              <w:rPr>
                <w:color w:val="70AD47" w:themeColor="accent6"/>
              </w:rPr>
              <w:t>Now What</w:t>
            </w:r>
          </w:p>
        </w:tc>
        <w:tc>
          <w:tcPr>
            <w:tcW w:w="8873" w:type="dxa"/>
          </w:tcPr>
          <w:p w14:paraId="5EFBBB30" w14:textId="77777777" w:rsidR="0037294C" w:rsidRDefault="0037294C">
            <w:pPr>
              <w:rPr>
                <w:rFonts w:eastAsia="Arial" w:cstheme="minorHAnsi"/>
              </w:rPr>
            </w:pPr>
          </w:p>
          <w:p w14:paraId="407BE338" w14:textId="46484E96" w:rsidR="0037294C" w:rsidRPr="0037294C" w:rsidRDefault="0037294C">
            <w:pPr>
              <w:rPr>
                <w:rFonts w:cstheme="minorHAnsi"/>
                <w:b/>
                <w:bCs/>
                <w:color w:val="000000" w:themeColor="text1"/>
              </w:rPr>
            </w:pPr>
            <w:r w:rsidRPr="0037294C">
              <w:rPr>
                <w:rFonts w:eastAsia="Arial" w:cstheme="minorHAnsi"/>
              </w:rPr>
              <w:t>Use the within-region ranking and bottom-quartile flag to find local underperformers, and review whether regional targets need re-baselining.</w:t>
            </w:r>
          </w:p>
        </w:tc>
      </w:tr>
    </w:tbl>
    <w:p w14:paraId="006E2305" w14:textId="77777777" w:rsidR="0037294C" w:rsidRPr="002550FB" w:rsidRDefault="0037294C">
      <w:pPr>
        <w:rPr>
          <w:b/>
          <w:bCs/>
          <w:color w:val="000000" w:themeColor="text1"/>
        </w:rPr>
      </w:pPr>
    </w:p>
    <w:p w14:paraId="709B4086" w14:textId="77777777" w:rsidR="00693A63" w:rsidRPr="00693A63" w:rsidRDefault="00693A63">
      <w:pPr>
        <w:rPr>
          <w:color w:val="000000" w:themeColor="text1"/>
        </w:rPr>
      </w:pPr>
    </w:p>
    <w:p w14:paraId="1D4CF3F8" w14:textId="77777777" w:rsidR="00693A63" w:rsidRDefault="00693A63">
      <w:pPr>
        <w:rPr>
          <w:color w:val="000000" w:themeColor="text1"/>
        </w:rPr>
      </w:pPr>
    </w:p>
    <w:p w14:paraId="660B1201" w14:textId="77777777" w:rsidR="00693A63" w:rsidRPr="00693A63" w:rsidRDefault="00693A63">
      <w:pPr>
        <w:rPr>
          <w:color w:val="000000" w:themeColor="text1"/>
        </w:rPr>
      </w:pPr>
    </w:p>
    <w:p w14:paraId="0939F39D" w14:textId="77777777" w:rsidR="00915B19" w:rsidRPr="00915B19" w:rsidRDefault="00915B19">
      <w:pPr>
        <w:rPr>
          <w:b/>
          <w:bCs/>
          <w:color w:val="FFC000" w:themeColor="accent4"/>
        </w:rPr>
      </w:pPr>
    </w:p>
    <w:p w14:paraId="00933C41" w14:textId="77777777" w:rsidR="00915B19" w:rsidRDefault="00915B19">
      <w:pPr>
        <w:rPr>
          <w:color w:val="000000" w:themeColor="text1"/>
        </w:rPr>
      </w:pPr>
    </w:p>
    <w:p w14:paraId="39D3A74A" w14:textId="77777777" w:rsidR="00915B19" w:rsidRPr="00915B19" w:rsidRDefault="00915B19">
      <w:pPr>
        <w:rPr>
          <w:color w:val="000000" w:themeColor="text1"/>
          <w:u w:val="single"/>
        </w:rPr>
      </w:pPr>
    </w:p>
    <w:sectPr w:rsidR="00915B19" w:rsidRPr="00915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506E8"/>
    <w:multiLevelType w:val="hybridMultilevel"/>
    <w:tmpl w:val="428EAB56"/>
    <w:lvl w:ilvl="0" w:tplc="90185EC8">
      <w:start w:val="1"/>
      <w:numFmt w:val="bullet"/>
      <w:lvlText w:val="•"/>
      <w:lvlJc w:val="left"/>
      <w:pPr>
        <w:ind w:left="420" w:hanging="220"/>
      </w:pPr>
    </w:lvl>
    <w:lvl w:ilvl="1" w:tplc="AE7A1D96">
      <w:numFmt w:val="decimal"/>
      <w:lvlText w:val=""/>
      <w:lvlJc w:val="left"/>
    </w:lvl>
    <w:lvl w:ilvl="2" w:tplc="898431AC">
      <w:numFmt w:val="decimal"/>
      <w:lvlText w:val=""/>
      <w:lvlJc w:val="left"/>
    </w:lvl>
    <w:lvl w:ilvl="3" w:tplc="1B781FA0">
      <w:numFmt w:val="decimal"/>
      <w:lvlText w:val=""/>
      <w:lvlJc w:val="left"/>
    </w:lvl>
    <w:lvl w:ilvl="4" w:tplc="90C45710">
      <w:numFmt w:val="decimal"/>
      <w:lvlText w:val=""/>
      <w:lvlJc w:val="left"/>
    </w:lvl>
    <w:lvl w:ilvl="5" w:tplc="58B47E8E">
      <w:numFmt w:val="decimal"/>
      <w:lvlText w:val=""/>
      <w:lvlJc w:val="left"/>
    </w:lvl>
    <w:lvl w:ilvl="6" w:tplc="84DC6772">
      <w:numFmt w:val="decimal"/>
      <w:lvlText w:val=""/>
      <w:lvlJc w:val="left"/>
    </w:lvl>
    <w:lvl w:ilvl="7" w:tplc="EA28970A">
      <w:numFmt w:val="decimal"/>
      <w:lvlText w:val=""/>
      <w:lvlJc w:val="left"/>
    </w:lvl>
    <w:lvl w:ilvl="8" w:tplc="EFDC6F92">
      <w:numFmt w:val="decimal"/>
      <w:lvlText w:val=""/>
      <w:lvlJc w:val="left"/>
    </w:lvl>
  </w:abstractNum>
  <w:num w:numId="1" w16cid:durableId="16418103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5C5"/>
    <w:rsid w:val="00153EF8"/>
    <w:rsid w:val="002550FB"/>
    <w:rsid w:val="00331589"/>
    <w:rsid w:val="0037294C"/>
    <w:rsid w:val="003B1CA4"/>
    <w:rsid w:val="00693A63"/>
    <w:rsid w:val="00913380"/>
    <w:rsid w:val="00915B19"/>
    <w:rsid w:val="009750C7"/>
    <w:rsid w:val="00A855C5"/>
    <w:rsid w:val="00F9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8C505"/>
  <w15:chartTrackingRefBased/>
  <w15:docId w15:val="{1CB0467B-EDB5-40C5-BF1C-CA8008A13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5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5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5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5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5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5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5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5C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85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5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5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5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5C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133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622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RAJU KOLIKONDA</dc:creator>
  <cp:keywords/>
  <dc:description/>
  <cp:lastModifiedBy>MOHAN RAJU KOLIKONDA</cp:lastModifiedBy>
  <cp:revision>1</cp:revision>
  <dcterms:created xsi:type="dcterms:W3CDTF">2026-06-05T13:58:00Z</dcterms:created>
  <dcterms:modified xsi:type="dcterms:W3CDTF">2026-06-05T15:37:00Z</dcterms:modified>
</cp:coreProperties>
</file>