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1B365D"/>
          <w:sz w:val="34"/>
        </w:rPr>
        <w:t>End-to-End MLOps Pipeline for Heart Disease Risk Prediction</w:t>
      </w:r>
    </w:p>
    <w:p>
      <w:pPr>
        <w:spacing w:before="0" w:after="120"/>
        <w:jc w:val="center"/>
      </w:pPr>
      <w:r>
        <w:rPr>
          <w:b/>
          <w:color w:val="464646"/>
          <w:sz w:val="21"/>
        </w:rPr>
        <w:t>Machine Learning Operations (AIMLCZG523) — Assignment 01 Technical Report</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874"/>
        <w:gridCol w:w="4874"/>
      </w:tblGrid>
      <w:tr>
        <w:tc>
          <w:tcPr>
            <w:tcW w:type="dxa" w:w="4752"/>
            <w:shd w:fill="F4F7FA"/>
            <w:tcMar>
              <w:top w:w="45" w:type="dxa"/>
              <w:bottom w:w="45" w:type="dxa"/>
              <w:left w:w="90" w:type="dxa"/>
              <w:right w:w="90" w:type="dxa"/>
            </w:tcMar>
          </w:tcPr>
          <w:p>
            <w:pPr>
              <w:spacing w:before="0" w:after="0"/>
            </w:pPr>
            <w:r>
              <w:rPr>
                <w:b/>
                <w:color w:val="1B365D"/>
                <w:sz w:val="17"/>
              </w:rPr>
              <w:t>Student Name: Mohanapriya M</w:t>
            </w:r>
          </w:p>
        </w:tc>
        <w:tc>
          <w:tcPr>
            <w:tcW w:type="dxa" w:w="4896"/>
            <w:shd w:fill="F4F7FA"/>
            <w:tcMar>
              <w:top w:w="45" w:type="dxa"/>
              <w:bottom w:w="45" w:type="dxa"/>
              <w:left w:w="90" w:type="dxa"/>
              <w:right w:w="90" w:type="dxa"/>
            </w:tcMar>
          </w:tcPr>
          <w:p>
            <w:pPr>
              <w:spacing w:before="0" w:after="0"/>
            </w:pPr>
            <w:r>
              <w:rPr>
                <w:b/>
                <w:color w:val="1B365D"/>
                <w:sz w:val="17"/>
              </w:rPr>
              <w:t>Student ID: 2025AE05482</w:t>
            </w:r>
          </w:p>
        </w:tc>
      </w:tr>
      <w:tr>
        <w:tc>
          <w:tcPr>
            <w:tcW w:type="dxa" w:w="4752"/>
            <w:shd w:fill="F4F7FA"/>
            <w:tcMar>
              <w:top w:w="45" w:type="dxa"/>
              <w:bottom w:w="45" w:type="dxa"/>
              <w:left w:w="90" w:type="dxa"/>
              <w:right w:w="90" w:type="dxa"/>
            </w:tcMar>
          </w:tcPr>
          <w:p>
            <w:pPr>
              <w:spacing w:before="0" w:after="0"/>
            </w:pPr>
            <w:r>
              <w:rPr>
                <w:b/>
                <w:color w:val="1B365D"/>
                <w:sz w:val="17"/>
              </w:rPr>
              <w:t>Course: AIMLCZG523 (MLOps)</w:t>
            </w:r>
          </w:p>
        </w:tc>
        <w:tc>
          <w:tcPr>
            <w:tcW w:type="dxa" w:w="4896"/>
            <w:shd w:fill="F4F7FA"/>
            <w:tcMar>
              <w:top w:w="45" w:type="dxa"/>
              <w:bottom w:w="45" w:type="dxa"/>
              <w:left w:w="90" w:type="dxa"/>
              <w:right w:w="90" w:type="dxa"/>
            </w:tcMar>
          </w:tcPr>
          <w:p>
            <w:pPr>
              <w:spacing w:before="0" w:after="0"/>
            </w:pPr>
            <w:r>
              <w:rPr>
                <w:b/>
                <w:color w:val="1B365D"/>
                <w:sz w:val="17"/>
              </w:rPr>
              <w:t>Repository: https://github.com/Mohana1507/heart-disease-mlops</w:t>
            </w:r>
          </w:p>
        </w:tc>
      </w:tr>
    </w:tbl>
    <w:p>
      <w:pPr>
        <w:spacing w:before="40" w:after="80"/>
      </w:pPr>
    </w:p>
    <w:p>
      <w:pPr>
        <w:pStyle w:val="Heading1"/>
        <w:keepNext/>
        <w:spacing w:before="220" w:after="60"/>
      </w:pPr>
      <w:r>
        <w:rPr>
          <w:b/>
          <w:color w:val="1B365D"/>
          <w:sz w:val="26"/>
        </w:rPr>
        <w:t>1. Introduction and Scope</w:t>
      </w:r>
    </w:p>
    <w:p>
      <w:pPr>
        <w:spacing w:before="0" w:after="60" w:line="269" w:lineRule="auto"/>
      </w:pPr>
      <w:r>
        <w:rPr>
          <w:color w:val="232323"/>
          <w:sz w:val="19"/>
        </w:rPr>
        <w:t>Cardiovascular diseases represent the leading cause of global mortality, responsible for an estimated 17.9 million deaths annually (World Health Organization [WHO], 2021). Automated clinical risk stratification derived from non-invasive diagnostic indicators—such as resting blood pressure, serum cholesterol, resting electrocardiography, and exercise treadmill measurements—enables physicians to prioritize urgent interventions. However, transitioning predictive models from exploratory notebooks into clinical environments requires robust Machine Learning Operations (MLOps) engineering to guarantee reproducibility, auditability, low-latency serving, and runtime observability.</w:t>
      </w:r>
    </w:p>
    <w:p>
      <w:pPr>
        <w:spacing w:before="0" w:after="60" w:line="269" w:lineRule="auto"/>
      </w:pPr>
      <w:r>
        <w:rPr>
          <w:color w:val="232323"/>
          <w:sz w:val="19"/>
        </w:rPr>
        <w:t>This project implements an end-to-end MLOps workflow for heart disease risk classification utilizing the canonical UCI Cleveland Heart Disease benchmark (Janosi et al., 1989; Dua &amp; Graff, 2019). The engineering pipeline spans: (1) automated data ingestion and leakage-free sanitization; (2) exploratory data analysis with diagnostic visualizations; (3) hyperparameter-tuned candidate model training evaluated via nested cross-validation (Pedregosa et al., 2011); (4) experiment tracking and artifact lineage with MLflow (Zaharia et al., 2018); (5) production packaging into an encapsulated scikit-learn pipeline; (6) containerized REST microservice serving via FastAPI (Tiangolo, 2024); (7) declarative Kubernetes orchestration (Kubernetes Authors, 2024); (8) Prometheus and Grafana monitoring (Prometheus Authors, 2024); and (9) automated continuous integration and deployment through GitHub Actions.</w:t>
      </w:r>
    </w:p>
    <w:p>
      <w:pPr>
        <w:spacing w:before="0" w:after="60" w:line="269" w:lineRule="auto"/>
      </w:pPr>
      <w:r>
        <w:rPr>
          <w:b/>
          <w:color w:val="1B365D"/>
        </w:rPr>
        <w:t xml:space="preserve">Implementation Mapping: </w:t>
      </w:r>
      <w:r>
        <w:rPr>
          <w:color w:val="232323"/>
          <w:sz w:val="19"/>
        </w:rPr>
        <w:t>Table 1 outlines the mapping between core assignment tasks and repository implementations.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50"/>
        <w:gridCol w:w="3250"/>
        <w:gridCol w:w="3250"/>
      </w:tblGrid>
      <w:tr>
        <w:tc>
          <w:tcPr>
            <w:tcW w:type="dxa" w:w="2304"/>
            <w:shd w:fill="1B365D"/>
            <w:tcMar>
              <w:top w:w="90" w:type="dxa"/>
              <w:bottom w:w="90" w:type="dxa"/>
              <w:left w:w="110" w:type="dxa"/>
              <w:right w:w="110" w:type="dxa"/>
            </w:tcMar>
          </w:tcPr>
          <w:p>
            <w:pPr>
              <w:spacing w:before="0" w:after="0"/>
            </w:pPr>
            <w:r>
              <w:rPr>
                <w:b/>
                <w:color w:val="FFFFFF"/>
                <w:sz w:val="17"/>
              </w:rPr>
              <w:t>Assignment Task</w:t>
            </w:r>
          </w:p>
        </w:tc>
        <w:tc>
          <w:tcPr>
            <w:tcW w:type="dxa" w:w="3888"/>
            <w:shd w:fill="1B365D"/>
            <w:tcMar>
              <w:top w:w="90" w:type="dxa"/>
              <w:bottom w:w="90" w:type="dxa"/>
              <w:left w:w="110" w:type="dxa"/>
              <w:right w:w="110" w:type="dxa"/>
            </w:tcMar>
          </w:tcPr>
          <w:p>
            <w:pPr>
              <w:spacing w:before="0" w:after="0"/>
            </w:pPr>
            <w:r>
              <w:rPr>
                <w:b/>
                <w:color w:val="FFFFFF"/>
                <w:sz w:val="17"/>
              </w:rPr>
              <w:t>Implementation Summary</w:t>
            </w:r>
          </w:p>
        </w:tc>
        <w:tc>
          <w:tcPr>
            <w:tcW w:type="dxa" w:w="3456"/>
            <w:shd w:fill="1B365D"/>
            <w:tcMar>
              <w:top w:w="90" w:type="dxa"/>
              <w:bottom w:w="90" w:type="dxa"/>
              <w:left w:w="110" w:type="dxa"/>
              <w:right w:w="110" w:type="dxa"/>
            </w:tcMar>
          </w:tcPr>
          <w:p>
            <w:pPr>
              <w:spacing w:before="0" w:after="0"/>
            </w:pPr>
            <w:r>
              <w:rPr>
                <w:b/>
                <w:color w:val="FFFFFF"/>
                <w:sz w:val="17"/>
              </w:rPr>
              <w:t>Repository Artefacts</w:t>
            </w:r>
          </w:p>
        </w:tc>
      </w:tr>
      <w:tr>
        <w:tc>
          <w:tcPr>
            <w:tcW w:type="dxa" w:w="2304"/>
            <w:shd w:fill="F7F9FB"/>
            <w:tcMar>
              <w:top w:w="60" w:type="dxa"/>
              <w:bottom w:w="60" w:type="dxa"/>
              <w:left w:w="110" w:type="dxa"/>
              <w:right w:w="110" w:type="dxa"/>
            </w:tcMar>
          </w:tcPr>
          <w:p>
            <w:pPr>
              <w:spacing w:before="0" w:after="0"/>
            </w:pPr>
            <w:r>
              <w:rPr>
                <w:color w:val="282828"/>
                <w:sz w:val="17"/>
              </w:rPr>
              <w:t>1. Data &amp; EDA</w:t>
            </w:r>
          </w:p>
        </w:tc>
        <w:tc>
          <w:tcPr>
            <w:tcW w:type="dxa" w:w="3888"/>
            <w:shd w:fill="F7F9FB"/>
            <w:tcMar>
              <w:top w:w="60" w:type="dxa"/>
              <w:bottom w:w="60" w:type="dxa"/>
              <w:left w:w="110" w:type="dxa"/>
              <w:right w:w="110" w:type="dxa"/>
            </w:tcMar>
          </w:tcPr>
          <w:p>
            <w:pPr>
              <w:spacing w:before="0" w:after="0"/>
            </w:pPr>
            <w:r>
              <w:rPr>
                <w:color w:val="282828"/>
                <w:sz w:val="17"/>
              </w:rPr>
              <w:t>Automated ingestion, target binarization, NaN preservation, class balance, correlation heatmap &amp; histograms.</w:t>
            </w:r>
          </w:p>
        </w:tc>
        <w:tc>
          <w:tcPr>
            <w:tcW w:type="dxa" w:w="3456"/>
            <w:shd w:fill="F7F9FB"/>
            <w:tcMar>
              <w:top w:w="60" w:type="dxa"/>
              <w:bottom w:w="60" w:type="dxa"/>
              <w:left w:w="110" w:type="dxa"/>
              <w:right w:w="110" w:type="dxa"/>
            </w:tcMar>
          </w:tcPr>
          <w:p>
            <w:pPr>
              <w:spacing w:before="0" w:after="0"/>
            </w:pPr>
            <w:r>
              <w:rPr>
                <w:color w:val="282828"/>
                <w:sz w:val="17"/>
              </w:rPr>
              <w:t>scripts/download_data.py, src/heart/data.py, src/heart/eda.py</w:t>
            </w:r>
          </w:p>
        </w:tc>
      </w:tr>
      <w:tr>
        <w:tc>
          <w:tcPr>
            <w:tcW w:type="dxa" w:w="2304"/>
            <w:shd w:fill="FFFFFF"/>
            <w:tcMar>
              <w:top w:w="60" w:type="dxa"/>
              <w:bottom w:w="60" w:type="dxa"/>
              <w:left w:w="110" w:type="dxa"/>
              <w:right w:w="110" w:type="dxa"/>
            </w:tcMar>
          </w:tcPr>
          <w:p>
            <w:pPr>
              <w:spacing w:before="0" w:after="0"/>
            </w:pPr>
            <w:r>
              <w:rPr>
                <w:color w:val="282828"/>
                <w:sz w:val="17"/>
              </w:rPr>
              <w:t>2. Modelling</w:t>
            </w:r>
          </w:p>
        </w:tc>
        <w:tc>
          <w:tcPr>
            <w:tcW w:type="dxa" w:w="3888"/>
            <w:shd w:fill="FFFFFF"/>
            <w:tcMar>
              <w:top w:w="60" w:type="dxa"/>
              <w:bottom w:w="60" w:type="dxa"/>
              <w:left w:w="110" w:type="dxa"/>
              <w:right w:w="110" w:type="dxa"/>
            </w:tcMar>
          </w:tcPr>
          <w:p>
            <w:pPr>
              <w:spacing w:before="0" w:after="0"/>
            </w:pPr>
            <w:r>
              <w:rPr>
                <w:color w:val="282828"/>
                <w:sz w:val="17"/>
              </w:rPr>
              <w:t>ColumnTransformer preprocessing, 3 tuned classifiers (LR, RF, GB), 5x3 nested CV protocol.</w:t>
            </w:r>
          </w:p>
        </w:tc>
        <w:tc>
          <w:tcPr>
            <w:tcW w:type="dxa" w:w="3456"/>
            <w:shd w:fill="FFFFFF"/>
            <w:tcMar>
              <w:top w:w="60" w:type="dxa"/>
              <w:bottom w:w="60" w:type="dxa"/>
              <w:left w:w="110" w:type="dxa"/>
              <w:right w:w="110" w:type="dxa"/>
            </w:tcMar>
          </w:tcPr>
          <w:p>
            <w:pPr>
              <w:spacing w:before="0" w:after="0"/>
            </w:pPr>
            <w:r>
              <w:rPr>
                <w:color w:val="282828"/>
                <w:sz w:val="17"/>
              </w:rPr>
              <w:t>src/heart/features.py, src/heart/modeling.py</w:t>
            </w:r>
          </w:p>
        </w:tc>
      </w:tr>
      <w:tr>
        <w:tc>
          <w:tcPr>
            <w:tcW w:type="dxa" w:w="2304"/>
            <w:shd w:fill="F7F9FB"/>
            <w:tcMar>
              <w:top w:w="60" w:type="dxa"/>
              <w:bottom w:w="60" w:type="dxa"/>
              <w:left w:w="110" w:type="dxa"/>
              <w:right w:w="110" w:type="dxa"/>
            </w:tcMar>
          </w:tcPr>
          <w:p>
            <w:pPr>
              <w:spacing w:before="0" w:after="0"/>
            </w:pPr>
            <w:r>
              <w:rPr>
                <w:color w:val="282828"/>
                <w:sz w:val="17"/>
              </w:rPr>
              <w:t>3. Tracking</w:t>
            </w:r>
          </w:p>
        </w:tc>
        <w:tc>
          <w:tcPr>
            <w:tcW w:type="dxa" w:w="3888"/>
            <w:shd w:fill="F7F9FB"/>
            <w:tcMar>
              <w:top w:w="60" w:type="dxa"/>
              <w:bottom w:w="60" w:type="dxa"/>
              <w:left w:w="110" w:type="dxa"/>
              <w:right w:w="110" w:type="dxa"/>
            </w:tcMar>
          </w:tcPr>
          <w:p>
            <w:pPr>
              <w:spacing w:before="0" w:after="0"/>
            </w:pPr>
            <w:r>
              <w:rPr>
                <w:color w:val="282828"/>
                <w:sz w:val="17"/>
              </w:rPr>
              <w:t>MLflow run logging of hyperparameters, CV metrics, test scores, ROC/PR curves, and model signatures.</w:t>
            </w:r>
          </w:p>
        </w:tc>
        <w:tc>
          <w:tcPr>
            <w:tcW w:type="dxa" w:w="3456"/>
            <w:shd w:fill="F7F9FB"/>
            <w:tcMar>
              <w:top w:w="60" w:type="dxa"/>
              <w:bottom w:w="60" w:type="dxa"/>
              <w:left w:w="110" w:type="dxa"/>
              <w:right w:w="110" w:type="dxa"/>
            </w:tcMar>
          </w:tcPr>
          <w:p>
            <w:pPr>
              <w:spacing w:before="0" w:after="0"/>
            </w:pPr>
            <w:r>
              <w:rPr>
                <w:color w:val="282828"/>
                <w:sz w:val="17"/>
              </w:rPr>
              <w:t>src/heart/train.py, mlruns/</w:t>
            </w:r>
          </w:p>
        </w:tc>
      </w:tr>
      <w:tr>
        <w:tc>
          <w:tcPr>
            <w:tcW w:type="dxa" w:w="2304"/>
            <w:shd w:fill="FFFFFF"/>
            <w:tcMar>
              <w:top w:w="60" w:type="dxa"/>
              <w:bottom w:w="60" w:type="dxa"/>
              <w:left w:w="110" w:type="dxa"/>
              <w:right w:w="110" w:type="dxa"/>
            </w:tcMar>
          </w:tcPr>
          <w:p>
            <w:pPr>
              <w:spacing w:before="0" w:after="0"/>
            </w:pPr>
            <w:r>
              <w:rPr>
                <w:color w:val="282828"/>
                <w:sz w:val="17"/>
              </w:rPr>
              <w:t>4. Packaging</w:t>
            </w:r>
          </w:p>
        </w:tc>
        <w:tc>
          <w:tcPr>
            <w:tcW w:type="dxa" w:w="3888"/>
            <w:shd w:fill="FFFFFF"/>
            <w:tcMar>
              <w:top w:w="60" w:type="dxa"/>
              <w:bottom w:w="60" w:type="dxa"/>
              <w:left w:w="110" w:type="dxa"/>
              <w:right w:w="110" w:type="dxa"/>
            </w:tcMar>
          </w:tcPr>
          <w:p>
            <w:pPr>
              <w:spacing w:before="0" w:after="0"/>
            </w:pPr>
            <w:r>
              <w:rPr>
                <w:color w:val="282828"/>
                <w:sz w:val="17"/>
              </w:rPr>
              <w:t>Self-contained scikit-learn Pipeline serialization (model.joblib) with companion metadata.json.</w:t>
            </w:r>
          </w:p>
        </w:tc>
        <w:tc>
          <w:tcPr>
            <w:tcW w:type="dxa" w:w="3456"/>
            <w:shd w:fill="FFFFFF"/>
            <w:tcMar>
              <w:top w:w="60" w:type="dxa"/>
              <w:bottom w:w="60" w:type="dxa"/>
              <w:left w:w="110" w:type="dxa"/>
              <w:right w:w="110" w:type="dxa"/>
            </w:tcMar>
          </w:tcPr>
          <w:p>
            <w:pPr>
              <w:spacing w:before="0" w:after="0"/>
            </w:pPr>
            <w:r>
              <w:rPr>
                <w:color w:val="282828"/>
                <w:sz w:val="17"/>
              </w:rPr>
              <w:t>models/model.joblib, models/metadata.json</w:t>
            </w:r>
          </w:p>
        </w:tc>
      </w:tr>
      <w:tr>
        <w:tc>
          <w:tcPr>
            <w:tcW w:type="dxa" w:w="2304"/>
            <w:shd w:fill="F7F9FB"/>
            <w:tcMar>
              <w:top w:w="60" w:type="dxa"/>
              <w:bottom w:w="60" w:type="dxa"/>
              <w:left w:w="110" w:type="dxa"/>
              <w:right w:w="110" w:type="dxa"/>
            </w:tcMar>
          </w:tcPr>
          <w:p>
            <w:pPr>
              <w:spacing w:before="0" w:after="0"/>
            </w:pPr>
            <w:r>
              <w:rPr>
                <w:color w:val="282828"/>
                <w:sz w:val="17"/>
              </w:rPr>
              <w:t>5. CI/CD &amp; Tests</w:t>
            </w:r>
          </w:p>
        </w:tc>
        <w:tc>
          <w:tcPr>
            <w:tcW w:type="dxa" w:w="3888"/>
            <w:shd w:fill="F7F9FB"/>
            <w:tcMar>
              <w:top w:w="60" w:type="dxa"/>
              <w:bottom w:w="60" w:type="dxa"/>
              <w:left w:w="110" w:type="dxa"/>
              <w:right w:w="110" w:type="dxa"/>
            </w:tcMar>
          </w:tcPr>
          <w:p>
            <w:pPr>
              <w:spacing w:before="0" w:after="0"/>
            </w:pPr>
            <w:r>
              <w:rPr>
                <w:color w:val="282828"/>
                <w:sz w:val="17"/>
              </w:rPr>
              <w:t>21 offline pytest unit tests (synthetic fixture), 4-stage GitHub Actions workflow (lint, test, train, docker).</w:t>
            </w:r>
          </w:p>
        </w:tc>
        <w:tc>
          <w:tcPr>
            <w:tcW w:type="dxa" w:w="3456"/>
            <w:shd w:fill="F7F9FB"/>
            <w:tcMar>
              <w:top w:w="60" w:type="dxa"/>
              <w:bottom w:w="60" w:type="dxa"/>
              <w:left w:w="110" w:type="dxa"/>
              <w:right w:w="110" w:type="dxa"/>
            </w:tcMar>
          </w:tcPr>
          <w:p>
            <w:pPr>
              <w:spacing w:before="0" w:after="0"/>
            </w:pPr>
            <w:r>
              <w:rPr>
                <w:color w:val="282828"/>
                <w:sz w:val="17"/>
              </w:rPr>
              <w:t>tests/, .github/workflows/ci.yml</w:t>
            </w:r>
          </w:p>
        </w:tc>
      </w:tr>
      <w:tr>
        <w:tc>
          <w:tcPr>
            <w:tcW w:type="dxa" w:w="2304"/>
            <w:shd w:fill="FFFFFF"/>
            <w:tcMar>
              <w:top w:w="60" w:type="dxa"/>
              <w:bottom w:w="60" w:type="dxa"/>
              <w:left w:w="110" w:type="dxa"/>
              <w:right w:w="110" w:type="dxa"/>
            </w:tcMar>
          </w:tcPr>
          <w:p>
            <w:pPr>
              <w:spacing w:before="0" w:after="0"/>
            </w:pPr>
            <w:r>
              <w:rPr>
                <w:color w:val="282828"/>
                <w:sz w:val="17"/>
              </w:rPr>
              <w:t>6. Containerization</w:t>
            </w:r>
          </w:p>
        </w:tc>
        <w:tc>
          <w:tcPr>
            <w:tcW w:type="dxa" w:w="3888"/>
            <w:shd w:fill="FFFFFF"/>
            <w:tcMar>
              <w:top w:w="60" w:type="dxa"/>
              <w:bottom w:w="60" w:type="dxa"/>
              <w:left w:w="110" w:type="dxa"/>
              <w:right w:w="110" w:type="dxa"/>
            </w:tcMar>
          </w:tcPr>
          <w:p>
            <w:pPr>
              <w:spacing w:before="0" w:after="0"/>
            </w:pPr>
            <w:r>
              <w:rPr>
                <w:color w:val="282828"/>
                <w:sz w:val="17"/>
              </w:rPr>
              <w:t>FastAPI serving application, non-root user security hardening, container HEALTHCHECK probe.</w:t>
            </w:r>
          </w:p>
        </w:tc>
        <w:tc>
          <w:tcPr>
            <w:tcW w:type="dxa" w:w="3456"/>
            <w:shd w:fill="FFFFFF"/>
            <w:tcMar>
              <w:top w:w="60" w:type="dxa"/>
              <w:bottom w:w="60" w:type="dxa"/>
              <w:left w:w="110" w:type="dxa"/>
              <w:right w:w="110" w:type="dxa"/>
            </w:tcMar>
          </w:tcPr>
          <w:p>
            <w:pPr>
              <w:spacing w:before="0" w:after="0"/>
            </w:pPr>
            <w:r>
              <w:rPr>
                <w:color w:val="282828"/>
                <w:sz w:val="17"/>
              </w:rPr>
              <w:t>Dockerfile, src/heart/api.py</w:t>
            </w:r>
          </w:p>
        </w:tc>
      </w:tr>
      <w:tr>
        <w:tc>
          <w:tcPr>
            <w:tcW w:type="dxa" w:w="2304"/>
            <w:shd w:fill="F7F9FB"/>
            <w:tcMar>
              <w:top w:w="60" w:type="dxa"/>
              <w:bottom w:w="60" w:type="dxa"/>
              <w:left w:w="110" w:type="dxa"/>
              <w:right w:w="110" w:type="dxa"/>
            </w:tcMar>
          </w:tcPr>
          <w:p>
            <w:pPr>
              <w:spacing w:before="0" w:after="0"/>
            </w:pPr>
            <w:r>
              <w:rPr>
                <w:color w:val="282828"/>
                <w:sz w:val="17"/>
              </w:rPr>
              <w:t>7. Deployment</w:t>
            </w:r>
          </w:p>
        </w:tc>
        <w:tc>
          <w:tcPr>
            <w:tcW w:type="dxa" w:w="3888"/>
            <w:shd w:fill="F7F9FB"/>
            <w:tcMar>
              <w:top w:w="60" w:type="dxa"/>
              <w:bottom w:w="60" w:type="dxa"/>
              <w:left w:w="110" w:type="dxa"/>
              <w:right w:w="110" w:type="dxa"/>
            </w:tcMar>
          </w:tcPr>
          <w:p>
            <w:pPr>
              <w:spacing w:before="0" w:after="0"/>
            </w:pPr>
            <w:r>
              <w:rPr>
                <w:color w:val="282828"/>
                <w:sz w:val="17"/>
              </w:rPr>
              <w:t>Declarative Kubernetes Deployment (2 replicas), LoadBalancer Service, Ingress, and Autoscaling (HPA).</w:t>
            </w:r>
          </w:p>
        </w:tc>
        <w:tc>
          <w:tcPr>
            <w:tcW w:type="dxa" w:w="3456"/>
            <w:shd w:fill="F7F9FB"/>
            <w:tcMar>
              <w:top w:w="60" w:type="dxa"/>
              <w:bottom w:w="60" w:type="dxa"/>
              <w:left w:w="110" w:type="dxa"/>
              <w:right w:w="110" w:type="dxa"/>
            </w:tcMar>
          </w:tcPr>
          <w:p>
            <w:pPr>
              <w:spacing w:before="0" w:after="0"/>
            </w:pPr>
            <w:r>
              <w:rPr>
                <w:color w:val="282828"/>
                <w:sz w:val="17"/>
              </w:rPr>
              <w:t>k8s/deployment.yaml, k8s/service.yaml, k8s/hpa.yaml</w:t>
            </w:r>
          </w:p>
        </w:tc>
      </w:tr>
      <w:tr>
        <w:tc>
          <w:tcPr>
            <w:tcW w:type="dxa" w:w="2304"/>
            <w:shd w:fill="FFFFFF"/>
            <w:tcMar>
              <w:top w:w="60" w:type="dxa"/>
              <w:bottom w:w="60" w:type="dxa"/>
              <w:left w:w="110" w:type="dxa"/>
              <w:right w:w="110" w:type="dxa"/>
            </w:tcMar>
          </w:tcPr>
          <w:p>
            <w:pPr>
              <w:spacing w:before="0" w:after="0"/>
            </w:pPr>
            <w:r>
              <w:rPr>
                <w:color w:val="282828"/>
                <w:sz w:val="17"/>
              </w:rPr>
              <w:t>8. Monitoring</w:t>
            </w:r>
          </w:p>
        </w:tc>
        <w:tc>
          <w:tcPr>
            <w:tcW w:type="dxa" w:w="3888"/>
            <w:shd w:fill="FFFFFF"/>
            <w:tcMar>
              <w:top w:w="60" w:type="dxa"/>
              <w:bottom w:w="60" w:type="dxa"/>
              <w:left w:w="110" w:type="dxa"/>
              <w:right w:w="110" w:type="dxa"/>
            </w:tcMar>
          </w:tcPr>
          <w:p>
            <w:pPr>
              <w:spacing w:before="0" w:after="0"/>
            </w:pPr>
            <w:r>
              <w:rPr>
                <w:color w:val="282828"/>
                <w:sz w:val="17"/>
              </w:rPr>
              <w:t>Structured JSON request logging without raw PII, Prometheus telemetry (/metrics), pre-provisioned Grafana.</w:t>
            </w:r>
          </w:p>
        </w:tc>
        <w:tc>
          <w:tcPr>
            <w:tcW w:type="dxa" w:w="3456"/>
            <w:shd w:fill="FFFFFF"/>
            <w:tcMar>
              <w:top w:w="60" w:type="dxa"/>
              <w:bottom w:w="60" w:type="dxa"/>
              <w:left w:w="110" w:type="dxa"/>
              <w:right w:w="110" w:type="dxa"/>
            </w:tcMar>
          </w:tcPr>
          <w:p>
            <w:pPr>
              <w:spacing w:before="0" w:after="0"/>
            </w:pPr>
            <w:r>
              <w:rPr>
                <w:color w:val="282828"/>
                <w:sz w:val="17"/>
              </w:rPr>
              <w:t>src/heart/api.py, docker-compose.yml, monitoring/</w:t>
            </w:r>
          </w:p>
        </w:tc>
      </w:tr>
      <w:tr>
        <w:tc>
          <w:tcPr>
            <w:tcW w:type="dxa" w:w="2304"/>
            <w:shd w:fill="F7F9FB"/>
            <w:tcMar>
              <w:top w:w="60" w:type="dxa"/>
              <w:bottom w:w="60" w:type="dxa"/>
              <w:left w:w="110" w:type="dxa"/>
              <w:right w:w="110" w:type="dxa"/>
            </w:tcMar>
          </w:tcPr>
          <w:p>
            <w:pPr>
              <w:spacing w:before="0" w:after="0"/>
            </w:pPr>
            <w:r>
              <w:rPr>
                <w:color w:val="282828"/>
                <w:sz w:val="17"/>
              </w:rPr>
              <w:t>9. Documentation</w:t>
            </w:r>
          </w:p>
        </w:tc>
        <w:tc>
          <w:tcPr>
            <w:tcW w:type="dxa" w:w="3888"/>
            <w:shd w:fill="F7F9FB"/>
            <w:tcMar>
              <w:top w:w="60" w:type="dxa"/>
              <w:bottom w:w="60" w:type="dxa"/>
              <w:left w:w="110" w:type="dxa"/>
              <w:right w:w="110" w:type="dxa"/>
            </w:tcMar>
          </w:tcPr>
          <w:p>
            <w:pPr>
              <w:spacing w:before="0" w:after="0"/>
            </w:pPr>
            <w:r>
              <w:rPr>
                <w:color w:val="282828"/>
                <w:sz w:val="17"/>
              </w:rPr>
              <w:t>Technical report, video walkthrough outline, execution instructions, and reproducible manifests.</w:t>
            </w:r>
          </w:p>
        </w:tc>
        <w:tc>
          <w:tcPr>
            <w:tcW w:type="dxa" w:w="3456"/>
            <w:shd w:fill="F7F9FB"/>
            <w:tcMar>
              <w:top w:w="60" w:type="dxa"/>
              <w:bottom w:w="60" w:type="dxa"/>
              <w:left w:w="110" w:type="dxa"/>
              <w:right w:w="110" w:type="dxa"/>
            </w:tcMar>
          </w:tcPr>
          <w:p>
            <w:pPr>
              <w:spacing w:before="0" w:after="0"/>
            </w:pPr>
            <w:r>
              <w:rPr>
                <w:color w:val="282828"/>
                <w:sz w:val="17"/>
              </w:rPr>
              <w:t>MLOps_Report.docx, README.md, docs/</w:t>
            </w:r>
          </w:p>
        </w:tc>
      </w:tr>
    </w:tbl>
    <w:p>
      <w:pPr>
        <w:spacing w:before="40" w:after="40"/>
      </w:pPr>
    </w:p>
    <w:p>
      <w:pPr>
        <w:spacing w:before="0" w:after="60" w:line="269" w:lineRule="auto"/>
      </w:pPr>
      <w:r>
        <w:rPr>
          <w:b/>
          <w:color w:val="1B365D"/>
        </w:rPr>
        <w:t xml:space="preserve">Architecture Walkthrough: </w:t>
      </w:r>
      <w:r>
        <w:rPr>
          <w:color w:val="232323"/>
          <w:sz w:val="19"/>
        </w:rPr>
        <w:t>Figure 1 illustrates the modular system architecture, tracing the lifecycle from raw data acquisition to Kubernetes load balancing and Prometheus/Grafana operational monitoring.</w:t>
      </w:r>
    </w:p>
    <w:p>
      <w:pPr>
        <w:spacing w:before="80" w:after="20"/>
        <w:jc w:val="center"/>
      </w:pPr>
      <w:r>
        <w:drawing>
          <wp:inline xmlns:a="http://schemas.openxmlformats.org/drawingml/2006/main" xmlns:pic="http://schemas.openxmlformats.org/drawingml/2006/picture">
            <wp:extent cx="5029200" cy="233554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2335541"/>
                    </a:xfrm>
                    <a:prstGeom prst="rect"/>
                  </pic:spPr>
                </pic:pic>
              </a:graphicData>
            </a:graphic>
          </wp:inline>
        </w:drawing>
      </w:r>
    </w:p>
    <w:p>
      <w:pPr>
        <w:spacing w:before="0" w:after="100"/>
        <w:jc w:val="center"/>
      </w:pPr>
      <w:r>
        <w:rPr>
          <w:i/>
          <w:color w:val="505050"/>
          <w:sz w:val="16"/>
        </w:rPr>
        <w:t>Figure 1: End-to-end MLOps pipeline architecture — from raw data acquisition to Kubernetes serving and Grafana monitoring.</w:t>
      </w:r>
    </w:p>
    <w:p>
      <w:pPr>
        <w:pStyle w:val="Heading1"/>
        <w:keepNext/>
        <w:spacing w:before="220" w:after="60"/>
      </w:pPr>
      <w:r>
        <w:rPr>
          <w:b/>
          <w:color w:val="1B365D"/>
          <w:sz w:val="26"/>
        </w:rPr>
        <w:t>2. Setup and Environment Configuration</w:t>
      </w:r>
    </w:p>
    <w:p>
      <w:pPr>
        <w:spacing w:before="0" w:after="60" w:line="269" w:lineRule="auto"/>
      </w:pPr>
      <w:r>
        <w:rPr>
          <w:color w:val="232323"/>
          <w:sz w:val="19"/>
        </w:rPr>
        <w:t>To ensure deterministic execution across operating systems (Linux, macOS, Windows) and eliminate dependency drift, project dependencies are pinned strictly and partitioned into two functional tiers:</w:t>
      </w:r>
    </w:p>
    <w:p>
      <w:pPr>
        <w:pStyle w:val="ListBullet"/>
        <w:spacing w:before="0" w:after="40" w:line="269" w:lineRule="auto"/>
      </w:pPr>
      <w:r>
        <w:rPr>
          <w:b/>
          <w:color w:val="1B365D"/>
        </w:rPr>
        <w:t xml:space="preserve">Runtime Serving Dependencies (requirements-serve.txt): </w:t>
      </w:r>
      <w:r>
        <w:rPr>
          <w:color w:val="232323"/>
          <w:sz w:val="19"/>
        </w:rPr>
        <w:t>Minimal set required for model deserialization and inference: numpy==1.26.4, pandas==2.2.3, scikit-learn==1.5.2, scipy==1.13.1, joblib==1.4.2, fastapi==0.115.4, uvicorn==0.32.0, pydantic==2.9.2, prometheus-client==0.21.0. Keeps the production container compressed image size to 162 MB.</w:t>
      </w:r>
    </w:p>
    <w:p>
      <w:pPr>
        <w:pStyle w:val="ListBullet"/>
        <w:spacing w:before="0" w:after="40" w:line="269" w:lineRule="auto"/>
      </w:pPr>
      <w:r>
        <w:rPr>
          <w:b/>
          <w:color w:val="1B365D"/>
        </w:rPr>
        <w:t xml:space="preserve">Development &amp; Training Dependencies (requirements.txt): </w:t>
      </w:r>
      <w:r>
        <w:rPr>
          <w:color w:val="232323"/>
          <w:sz w:val="19"/>
        </w:rPr>
        <w:t>Extends runtime dependencies with training and quality tooling: matplotlib==3.9.2, seaborn==0.13.2, mlflow==2.17.2, pytest==8.3.3, pytest-cov==5.0.0, httpx==0.27.2, flake8==7.1.1, and an editable install of the package (-e .).</w:t>
      </w:r>
    </w:p>
    <w:tbl>
      <w:tblPr>
        <w:tblW w:type="auto" w:w="0"/>
        <w:jc w:val="center"/>
        <w:tblLook w:firstColumn="1" w:firstRow="1" w:lastColumn="0" w:lastRow="0" w:noHBand="0" w:noVBand="1" w:val="04A0"/>
      </w:tblPr>
      <w:tblGrid>
        <w:gridCol w:w="9749"/>
      </w:tblGrid>
      <w:tr>
        <w:tc>
          <w:tcPr>
            <w:tcW w:type="dxa" w:w="9360"/>
            <w:shd w:fill="F0F4F8"/>
            <w:tcMar>
              <w:top w:w="90" w:type="dxa"/>
              <w:bottom w:w="90" w:type="dxa"/>
              <w:left w:w="140" w:type="dxa"/>
              <w:right w:w="140" w:type="dxa"/>
            </w:tcMar>
            <w:tcBorders>
              <w:left w:val="single" w:sz="20" w:space="0" w:color="1B365D"/>
              <w:top w:val="single" w:sz="4" w:space="0" w:color="D0D7DE"/>
              <w:bottom w:val="single" w:sz="4" w:space="0" w:color="D0D7DE"/>
              <w:right w:val="single" w:sz="4" w:space="0" w:color="D0D7DE"/>
            </w:tcBorders>
          </w:tcPr>
          <w:p>
            <w:pPr>
              <w:spacing w:before="20" w:after="60"/>
            </w:pPr>
            <w:r>
              <w:rPr>
                <w:b/>
                <w:color w:val="1B365D"/>
                <w:sz w:val="18"/>
              </w:rPr>
              <w:t>■ Quickstart Setup Commands</w:t>
            </w:r>
          </w:p>
          <w:p>
            <w:pPr>
              <w:spacing w:before="0" w:after="0"/>
            </w:pPr>
            <w:r>
              <w:rPr>
                <w:rFonts w:ascii="Consolas" w:hAnsi="Consolas"/>
                <w:color w:val="1E1E1E"/>
                <w:sz w:val="16"/>
              </w:rPr>
              <w:t>git clone https://github.com/Mohana1507/heart-disease-mlops.git &amp;&amp; cd heart-disease-mlops</w:t>
            </w:r>
          </w:p>
          <w:p>
            <w:pPr>
              <w:spacing w:before="0" w:after="0"/>
            </w:pPr>
            <w:r>
              <w:rPr>
                <w:rFonts w:ascii="Consolas" w:hAnsi="Consolas"/>
                <w:color w:val="1E1E1E"/>
                <w:sz w:val="16"/>
              </w:rPr>
              <w:t>python -m venv .venv &amp;&amp; source .venv/bin/activate  # Windows: .venv\Scripts\activate</w:t>
            </w:r>
          </w:p>
          <w:p>
            <w:pPr>
              <w:spacing w:before="0" w:after="0"/>
            </w:pPr>
            <w:r>
              <w:rPr>
                <w:rFonts w:ascii="Consolas" w:hAnsi="Consolas"/>
                <w:color w:val="1E1E1E"/>
                <w:sz w:val="16"/>
              </w:rPr>
              <w:t>pip install -r requirements.txt &amp;&amp; python scripts/download_data.py</w:t>
            </w:r>
          </w:p>
          <w:p>
            <w:pPr>
              <w:spacing w:before="0" w:after="0"/>
            </w:pPr>
            <w:r>
              <w:rPr>
                <w:rFonts w:ascii="Consolas" w:hAnsi="Consolas"/>
                <w:color w:val="1E1E1E"/>
                <w:sz w:val="16"/>
              </w:rPr>
              <w:t>python -m heart.eda &amp;&amp; python -m heart.train &amp;&amp; pytest -v</w:t>
            </w:r>
          </w:p>
        </w:tc>
      </w:tr>
    </w:tbl>
    <w:p>
      <w:pPr>
        <w:spacing w:before="20" w:after="40"/>
      </w:pPr>
    </w:p>
    <w:p>
      <w:pPr>
        <w:pStyle w:val="Heading1"/>
        <w:keepNext/>
        <w:spacing w:before="220" w:after="60"/>
      </w:pPr>
      <w:r>
        <w:rPr>
          <w:b/>
          <w:color w:val="1B365D"/>
          <w:sz w:val="26"/>
        </w:rPr>
        <w:t>3. Data Acquisition and Exploratory Data Analysis</w:t>
      </w:r>
    </w:p>
    <w:p>
      <w:pPr>
        <w:pStyle w:val="Heading2"/>
        <w:keepNext/>
        <w:spacing w:before="160" w:after="40"/>
      </w:pPr>
      <w:r>
        <w:rPr>
          <w:b/>
          <w:color w:val="294A6E"/>
          <w:sz w:val="22"/>
        </w:rPr>
        <w:t>3.1 Dataset Overview</w:t>
      </w:r>
    </w:p>
    <w:p>
      <w:pPr>
        <w:spacing w:before="0" w:after="60" w:line="269" w:lineRule="auto"/>
      </w:pPr>
      <w:r>
        <w:rPr>
          <w:color w:val="232323"/>
          <w:sz w:val="19"/>
        </w:rPr>
        <w:t>The UCI Cleveland Heart Disease dataset (Janosi et al., 1989) is the most widely utilized benchmark among the four UCI heart disease cohorts. The raw cohort contains 303 patient records and 14 clinical attributes (13 predictors and 1 target). Automated ingestion (scripts/download_data.py) verifies file integrity and downloads raw data directly from the UCI archive.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37"/>
        <w:gridCol w:w="2437"/>
        <w:gridCol w:w="2437"/>
        <w:gridCol w:w="2437"/>
      </w:tblGrid>
      <w:tr>
        <w:tc>
          <w:tcPr>
            <w:tcW w:type="dxa" w:w="1584"/>
            <w:shd w:fill="1B365D"/>
            <w:tcMar>
              <w:top w:w="90" w:type="dxa"/>
              <w:bottom w:w="90" w:type="dxa"/>
              <w:left w:w="110" w:type="dxa"/>
              <w:right w:w="110" w:type="dxa"/>
            </w:tcMar>
          </w:tcPr>
          <w:p>
            <w:pPr>
              <w:spacing w:before="0" w:after="0"/>
            </w:pPr>
            <w:r>
              <w:rPr>
                <w:b/>
                <w:color w:val="FFFFFF"/>
                <w:sz w:val="17"/>
              </w:rPr>
              <w:t>Attribute</w:t>
            </w:r>
          </w:p>
        </w:tc>
        <w:tc>
          <w:tcPr>
            <w:tcW w:type="dxa" w:w="1584"/>
            <w:shd w:fill="1B365D"/>
            <w:tcMar>
              <w:top w:w="90" w:type="dxa"/>
              <w:bottom w:w="90" w:type="dxa"/>
              <w:left w:w="110" w:type="dxa"/>
              <w:right w:w="110" w:type="dxa"/>
            </w:tcMar>
          </w:tcPr>
          <w:p>
            <w:pPr>
              <w:spacing w:before="0" w:after="0"/>
            </w:pPr>
            <w:r>
              <w:rPr>
                <w:b/>
                <w:color w:val="FFFFFF"/>
                <w:sz w:val="17"/>
              </w:rPr>
              <w:t>Type</w:t>
            </w:r>
          </w:p>
        </w:tc>
        <w:tc>
          <w:tcPr>
            <w:tcW w:type="dxa" w:w="2304"/>
            <w:shd w:fill="1B365D"/>
            <w:tcMar>
              <w:top w:w="90" w:type="dxa"/>
              <w:bottom w:w="90" w:type="dxa"/>
              <w:left w:w="110" w:type="dxa"/>
              <w:right w:w="110" w:type="dxa"/>
            </w:tcMar>
          </w:tcPr>
          <w:p>
            <w:pPr>
              <w:spacing w:before="0" w:after="0"/>
            </w:pPr>
            <w:r>
              <w:rPr>
                <w:b/>
                <w:color w:val="FFFFFF"/>
                <w:sz w:val="17"/>
              </w:rPr>
              <w:t>Domain / Values</w:t>
            </w:r>
          </w:p>
        </w:tc>
        <w:tc>
          <w:tcPr>
            <w:tcW w:type="dxa" w:w="4176"/>
            <w:shd w:fill="1B365D"/>
            <w:tcMar>
              <w:top w:w="90" w:type="dxa"/>
              <w:bottom w:w="90" w:type="dxa"/>
              <w:left w:w="110" w:type="dxa"/>
              <w:right w:w="110" w:type="dxa"/>
            </w:tcMar>
          </w:tcPr>
          <w:p>
            <w:pPr>
              <w:spacing w:before="0" w:after="0"/>
            </w:pPr>
            <w:r>
              <w:rPr>
                <w:b/>
                <w:color w:val="FFFFFF"/>
                <w:sz w:val="17"/>
              </w:rPr>
              <w:t>Clinical Description</w:t>
            </w:r>
          </w:p>
        </w:tc>
      </w:tr>
      <w:tr>
        <w:tc>
          <w:tcPr>
            <w:tcW w:type="dxa" w:w="1584"/>
            <w:shd w:fill="F7F9FB"/>
            <w:tcMar>
              <w:top w:w="60" w:type="dxa"/>
              <w:bottom w:w="60" w:type="dxa"/>
              <w:left w:w="110" w:type="dxa"/>
              <w:right w:w="110" w:type="dxa"/>
            </w:tcMar>
          </w:tcPr>
          <w:p>
            <w:pPr>
              <w:spacing w:before="0" w:after="0"/>
            </w:pPr>
            <w:r>
              <w:rPr>
                <w:color w:val="282828"/>
                <w:sz w:val="17"/>
              </w:rPr>
              <w:t>age</w:t>
            </w:r>
          </w:p>
        </w:tc>
        <w:tc>
          <w:tcPr>
            <w:tcW w:type="dxa" w:w="1584"/>
            <w:shd w:fill="F7F9FB"/>
            <w:tcMar>
              <w:top w:w="60" w:type="dxa"/>
              <w:bottom w:w="60" w:type="dxa"/>
              <w:left w:w="110" w:type="dxa"/>
              <w:right w:w="110" w:type="dxa"/>
            </w:tcMar>
          </w:tcPr>
          <w:p>
            <w:pPr>
              <w:spacing w:before="0" w:after="0"/>
            </w:pPr>
            <w:r>
              <w:rPr>
                <w:color w:val="282828"/>
                <w:sz w:val="17"/>
              </w:rPr>
              <w:t>Continuous</w:t>
            </w:r>
          </w:p>
        </w:tc>
        <w:tc>
          <w:tcPr>
            <w:tcW w:type="dxa" w:w="2304"/>
            <w:shd w:fill="F7F9FB"/>
            <w:tcMar>
              <w:top w:w="60" w:type="dxa"/>
              <w:bottom w:w="60" w:type="dxa"/>
              <w:left w:w="110" w:type="dxa"/>
              <w:right w:w="110" w:type="dxa"/>
            </w:tcMar>
          </w:tcPr>
          <w:p>
            <w:pPr>
              <w:spacing w:before="0" w:after="0"/>
            </w:pPr>
            <w:r>
              <w:rPr>
                <w:color w:val="282828"/>
                <w:sz w:val="17"/>
              </w:rPr>
              <w:t>29 – 77 years</w:t>
            </w:r>
          </w:p>
        </w:tc>
        <w:tc>
          <w:tcPr>
            <w:tcW w:type="dxa" w:w="4176"/>
            <w:shd w:fill="F7F9FB"/>
            <w:tcMar>
              <w:top w:w="60" w:type="dxa"/>
              <w:bottom w:w="60" w:type="dxa"/>
              <w:left w:w="110" w:type="dxa"/>
              <w:right w:w="110" w:type="dxa"/>
            </w:tcMar>
          </w:tcPr>
          <w:p>
            <w:pPr>
              <w:spacing w:before="0" w:after="0"/>
            </w:pPr>
            <w:r>
              <w:rPr>
                <w:color w:val="282828"/>
                <w:sz w:val="17"/>
              </w:rPr>
              <w:t>Patient age in years</w:t>
            </w:r>
          </w:p>
        </w:tc>
      </w:tr>
      <w:tr>
        <w:tc>
          <w:tcPr>
            <w:tcW w:type="dxa" w:w="1584"/>
            <w:shd w:fill="FFFFFF"/>
            <w:tcMar>
              <w:top w:w="60" w:type="dxa"/>
              <w:bottom w:w="60" w:type="dxa"/>
              <w:left w:w="110" w:type="dxa"/>
              <w:right w:w="110" w:type="dxa"/>
            </w:tcMar>
          </w:tcPr>
          <w:p>
            <w:pPr>
              <w:spacing w:before="0" w:after="0"/>
            </w:pPr>
            <w:r>
              <w:rPr>
                <w:color w:val="282828"/>
                <w:sz w:val="17"/>
              </w:rPr>
              <w:t>sex</w:t>
            </w:r>
          </w:p>
        </w:tc>
        <w:tc>
          <w:tcPr>
            <w:tcW w:type="dxa" w:w="1584"/>
            <w:shd w:fill="FFFFFF"/>
            <w:tcMar>
              <w:top w:w="60" w:type="dxa"/>
              <w:bottom w:w="60" w:type="dxa"/>
              <w:left w:w="110" w:type="dxa"/>
              <w:right w:w="110" w:type="dxa"/>
            </w:tcMar>
          </w:tcPr>
          <w:p>
            <w:pPr>
              <w:spacing w:before="0" w:after="0"/>
            </w:pPr>
            <w:r>
              <w:rPr>
                <w:color w:val="282828"/>
                <w:sz w:val="17"/>
              </w:rPr>
              <w:t>Categorical</w:t>
            </w:r>
          </w:p>
        </w:tc>
        <w:tc>
          <w:tcPr>
            <w:tcW w:type="dxa" w:w="2304"/>
            <w:shd w:fill="FFFFFF"/>
            <w:tcMar>
              <w:top w:w="60" w:type="dxa"/>
              <w:bottom w:w="60" w:type="dxa"/>
              <w:left w:w="110" w:type="dxa"/>
              <w:right w:w="110" w:type="dxa"/>
            </w:tcMar>
          </w:tcPr>
          <w:p>
            <w:pPr>
              <w:spacing w:before="0" w:after="0"/>
            </w:pPr>
            <w:r>
              <w:rPr>
                <w:color w:val="282828"/>
                <w:sz w:val="17"/>
              </w:rPr>
              <w:t>0 = female, 1 = male</w:t>
            </w:r>
          </w:p>
        </w:tc>
        <w:tc>
          <w:tcPr>
            <w:tcW w:type="dxa" w:w="4176"/>
            <w:shd w:fill="FFFFFF"/>
            <w:tcMar>
              <w:top w:w="60" w:type="dxa"/>
              <w:bottom w:w="60" w:type="dxa"/>
              <w:left w:w="110" w:type="dxa"/>
              <w:right w:w="110" w:type="dxa"/>
            </w:tcMar>
          </w:tcPr>
          <w:p>
            <w:pPr>
              <w:spacing w:before="0" w:after="0"/>
            </w:pPr>
            <w:r>
              <w:rPr>
                <w:color w:val="282828"/>
                <w:sz w:val="17"/>
              </w:rPr>
              <w:t>Biological sex</w:t>
            </w:r>
          </w:p>
        </w:tc>
      </w:tr>
      <w:tr>
        <w:tc>
          <w:tcPr>
            <w:tcW w:type="dxa" w:w="1584"/>
            <w:shd w:fill="F7F9FB"/>
            <w:tcMar>
              <w:top w:w="60" w:type="dxa"/>
              <w:bottom w:w="60" w:type="dxa"/>
              <w:left w:w="110" w:type="dxa"/>
              <w:right w:w="110" w:type="dxa"/>
            </w:tcMar>
          </w:tcPr>
          <w:p>
            <w:pPr>
              <w:spacing w:before="0" w:after="0"/>
            </w:pPr>
            <w:r>
              <w:rPr>
                <w:color w:val="282828"/>
                <w:sz w:val="17"/>
              </w:rPr>
              <w:t>cp</w:t>
            </w:r>
          </w:p>
        </w:tc>
        <w:tc>
          <w:tcPr>
            <w:tcW w:type="dxa" w:w="1584"/>
            <w:shd w:fill="F7F9FB"/>
            <w:tcMar>
              <w:top w:w="60" w:type="dxa"/>
              <w:bottom w:w="60" w:type="dxa"/>
              <w:left w:w="110" w:type="dxa"/>
              <w:right w:w="110" w:type="dxa"/>
            </w:tcMar>
          </w:tcPr>
          <w:p>
            <w:pPr>
              <w:spacing w:before="0" w:after="0"/>
            </w:pPr>
            <w:r>
              <w:rPr>
                <w:color w:val="282828"/>
                <w:sz w:val="17"/>
              </w:rPr>
              <w:t>Categorical</w:t>
            </w:r>
          </w:p>
        </w:tc>
        <w:tc>
          <w:tcPr>
            <w:tcW w:type="dxa" w:w="2304"/>
            <w:shd w:fill="F7F9FB"/>
            <w:tcMar>
              <w:top w:w="60" w:type="dxa"/>
              <w:bottom w:w="60" w:type="dxa"/>
              <w:left w:w="110" w:type="dxa"/>
              <w:right w:w="110" w:type="dxa"/>
            </w:tcMar>
          </w:tcPr>
          <w:p>
            <w:pPr>
              <w:spacing w:before="0" w:after="0"/>
            </w:pPr>
            <w:r>
              <w:rPr>
                <w:color w:val="282828"/>
                <w:sz w:val="17"/>
              </w:rPr>
              <w:t>1: typ. angina, 2: atyp., 3: non-anginal, 4: asympt.</w:t>
            </w:r>
          </w:p>
        </w:tc>
        <w:tc>
          <w:tcPr>
            <w:tcW w:type="dxa" w:w="4176"/>
            <w:shd w:fill="F7F9FB"/>
            <w:tcMar>
              <w:top w:w="60" w:type="dxa"/>
              <w:bottom w:w="60" w:type="dxa"/>
              <w:left w:w="110" w:type="dxa"/>
              <w:right w:w="110" w:type="dxa"/>
            </w:tcMar>
          </w:tcPr>
          <w:p>
            <w:pPr>
              <w:spacing w:before="0" w:after="0"/>
            </w:pPr>
            <w:r>
              <w:rPr>
                <w:color w:val="282828"/>
                <w:sz w:val="17"/>
              </w:rPr>
              <w:t>Chest pain diagnostic type</w:t>
            </w:r>
          </w:p>
        </w:tc>
      </w:tr>
      <w:tr>
        <w:tc>
          <w:tcPr>
            <w:tcW w:type="dxa" w:w="1584"/>
            <w:shd w:fill="FFFFFF"/>
            <w:tcMar>
              <w:top w:w="60" w:type="dxa"/>
              <w:bottom w:w="60" w:type="dxa"/>
              <w:left w:w="110" w:type="dxa"/>
              <w:right w:w="110" w:type="dxa"/>
            </w:tcMar>
          </w:tcPr>
          <w:p>
            <w:pPr>
              <w:spacing w:before="0" w:after="0"/>
            </w:pPr>
            <w:r>
              <w:rPr>
                <w:color w:val="282828"/>
                <w:sz w:val="17"/>
              </w:rPr>
              <w:t>trestbps</w:t>
            </w:r>
          </w:p>
        </w:tc>
        <w:tc>
          <w:tcPr>
            <w:tcW w:type="dxa" w:w="1584"/>
            <w:shd w:fill="FFFFFF"/>
            <w:tcMar>
              <w:top w:w="60" w:type="dxa"/>
              <w:bottom w:w="60" w:type="dxa"/>
              <w:left w:w="110" w:type="dxa"/>
              <w:right w:w="110" w:type="dxa"/>
            </w:tcMar>
          </w:tcPr>
          <w:p>
            <w:pPr>
              <w:spacing w:before="0" w:after="0"/>
            </w:pPr>
            <w:r>
              <w:rPr>
                <w:color w:val="282828"/>
                <w:sz w:val="17"/>
              </w:rPr>
              <w:t>Continuous</w:t>
            </w:r>
          </w:p>
        </w:tc>
        <w:tc>
          <w:tcPr>
            <w:tcW w:type="dxa" w:w="2304"/>
            <w:shd w:fill="FFFFFF"/>
            <w:tcMar>
              <w:top w:w="60" w:type="dxa"/>
              <w:bottom w:w="60" w:type="dxa"/>
              <w:left w:w="110" w:type="dxa"/>
              <w:right w:w="110" w:type="dxa"/>
            </w:tcMar>
          </w:tcPr>
          <w:p>
            <w:pPr>
              <w:spacing w:before="0" w:after="0"/>
            </w:pPr>
            <w:r>
              <w:rPr>
                <w:color w:val="282828"/>
                <w:sz w:val="17"/>
              </w:rPr>
              <w:t>94 – 200 mm Hg</w:t>
            </w:r>
          </w:p>
        </w:tc>
        <w:tc>
          <w:tcPr>
            <w:tcW w:type="dxa" w:w="4176"/>
            <w:shd w:fill="FFFFFF"/>
            <w:tcMar>
              <w:top w:w="60" w:type="dxa"/>
              <w:bottom w:w="60" w:type="dxa"/>
              <w:left w:w="110" w:type="dxa"/>
              <w:right w:w="110" w:type="dxa"/>
            </w:tcMar>
          </w:tcPr>
          <w:p>
            <w:pPr>
              <w:spacing w:before="0" w:after="0"/>
            </w:pPr>
            <w:r>
              <w:rPr>
                <w:color w:val="282828"/>
                <w:sz w:val="17"/>
              </w:rPr>
              <w:t>Resting blood pressure on hospital admission</w:t>
            </w:r>
          </w:p>
        </w:tc>
      </w:tr>
      <w:tr>
        <w:tc>
          <w:tcPr>
            <w:tcW w:type="dxa" w:w="1584"/>
            <w:shd w:fill="F7F9FB"/>
            <w:tcMar>
              <w:top w:w="60" w:type="dxa"/>
              <w:bottom w:w="60" w:type="dxa"/>
              <w:left w:w="110" w:type="dxa"/>
              <w:right w:w="110" w:type="dxa"/>
            </w:tcMar>
          </w:tcPr>
          <w:p>
            <w:pPr>
              <w:spacing w:before="0" w:after="0"/>
            </w:pPr>
            <w:r>
              <w:rPr>
                <w:color w:val="282828"/>
                <w:sz w:val="17"/>
              </w:rPr>
              <w:t>chol</w:t>
            </w:r>
          </w:p>
        </w:tc>
        <w:tc>
          <w:tcPr>
            <w:tcW w:type="dxa" w:w="1584"/>
            <w:shd w:fill="F7F9FB"/>
            <w:tcMar>
              <w:top w:w="60" w:type="dxa"/>
              <w:bottom w:w="60" w:type="dxa"/>
              <w:left w:w="110" w:type="dxa"/>
              <w:right w:w="110" w:type="dxa"/>
            </w:tcMar>
          </w:tcPr>
          <w:p>
            <w:pPr>
              <w:spacing w:before="0" w:after="0"/>
            </w:pPr>
            <w:r>
              <w:rPr>
                <w:color w:val="282828"/>
                <w:sz w:val="17"/>
              </w:rPr>
              <w:t>Continuous</w:t>
            </w:r>
          </w:p>
        </w:tc>
        <w:tc>
          <w:tcPr>
            <w:tcW w:type="dxa" w:w="2304"/>
            <w:shd w:fill="F7F9FB"/>
            <w:tcMar>
              <w:top w:w="60" w:type="dxa"/>
              <w:bottom w:w="60" w:type="dxa"/>
              <w:left w:w="110" w:type="dxa"/>
              <w:right w:w="110" w:type="dxa"/>
            </w:tcMar>
          </w:tcPr>
          <w:p>
            <w:pPr>
              <w:spacing w:before="0" w:after="0"/>
            </w:pPr>
            <w:r>
              <w:rPr>
                <w:color w:val="282828"/>
                <w:sz w:val="17"/>
              </w:rPr>
              <w:t>126 – 564 mg/dL</w:t>
            </w:r>
          </w:p>
        </w:tc>
        <w:tc>
          <w:tcPr>
            <w:tcW w:type="dxa" w:w="4176"/>
            <w:shd w:fill="F7F9FB"/>
            <w:tcMar>
              <w:top w:w="60" w:type="dxa"/>
              <w:bottom w:w="60" w:type="dxa"/>
              <w:left w:w="110" w:type="dxa"/>
              <w:right w:w="110" w:type="dxa"/>
            </w:tcMar>
          </w:tcPr>
          <w:p>
            <w:pPr>
              <w:spacing w:before="0" w:after="0"/>
            </w:pPr>
            <w:r>
              <w:rPr>
                <w:color w:val="282828"/>
                <w:sz w:val="17"/>
              </w:rPr>
              <w:t>Serum cholesterol level</w:t>
            </w:r>
          </w:p>
        </w:tc>
      </w:tr>
      <w:tr>
        <w:tc>
          <w:tcPr>
            <w:tcW w:type="dxa" w:w="1584"/>
            <w:shd w:fill="FFFFFF"/>
            <w:tcMar>
              <w:top w:w="60" w:type="dxa"/>
              <w:bottom w:w="60" w:type="dxa"/>
              <w:left w:w="110" w:type="dxa"/>
              <w:right w:w="110" w:type="dxa"/>
            </w:tcMar>
          </w:tcPr>
          <w:p>
            <w:pPr>
              <w:spacing w:before="0" w:after="0"/>
            </w:pPr>
            <w:r>
              <w:rPr>
                <w:color w:val="282828"/>
                <w:sz w:val="17"/>
              </w:rPr>
              <w:t>fbs</w:t>
            </w:r>
          </w:p>
        </w:tc>
        <w:tc>
          <w:tcPr>
            <w:tcW w:type="dxa" w:w="1584"/>
            <w:shd w:fill="FFFFFF"/>
            <w:tcMar>
              <w:top w:w="60" w:type="dxa"/>
              <w:bottom w:w="60" w:type="dxa"/>
              <w:left w:w="110" w:type="dxa"/>
              <w:right w:w="110" w:type="dxa"/>
            </w:tcMar>
          </w:tcPr>
          <w:p>
            <w:pPr>
              <w:spacing w:before="0" w:after="0"/>
            </w:pPr>
            <w:r>
              <w:rPr>
                <w:color w:val="282828"/>
                <w:sz w:val="17"/>
              </w:rPr>
              <w:t>Categorical</w:t>
            </w:r>
          </w:p>
        </w:tc>
        <w:tc>
          <w:tcPr>
            <w:tcW w:type="dxa" w:w="2304"/>
            <w:shd w:fill="FFFFFF"/>
            <w:tcMar>
              <w:top w:w="60" w:type="dxa"/>
              <w:bottom w:w="60" w:type="dxa"/>
              <w:left w:w="110" w:type="dxa"/>
              <w:right w:w="110" w:type="dxa"/>
            </w:tcMar>
          </w:tcPr>
          <w:p>
            <w:pPr>
              <w:spacing w:before="0" w:after="0"/>
            </w:pPr>
            <w:r>
              <w:rPr>
                <w:color w:val="282828"/>
                <w:sz w:val="17"/>
              </w:rPr>
              <w:t>0 = &lt;=120 mg/dL, 1 = &gt;120 mg/dL</w:t>
            </w:r>
          </w:p>
        </w:tc>
        <w:tc>
          <w:tcPr>
            <w:tcW w:type="dxa" w:w="4176"/>
            <w:shd w:fill="FFFFFF"/>
            <w:tcMar>
              <w:top w:w="60" w:type="dxa"/>
              <w:bottom w:w="60" w:type="dxa"/>
              <w:left w:w="110" w:type="dxa"/>
              <w:right w:w="110" w:type="dxa"/>
            </w:tcMar>
          </w:tcPr>
          <w:p>
            <w:pPr>
              <w:spacing w:before="0" w:after="0"/>
            </w:pPr>
            <w:r>
              <w:rPr>
                <w:color w:val="282828"/>
                <w:sz w:val="17"/>
              </w:rPr>
              <w:t>Fasting blood sugar &gt; 120 mg/dL</w:t>
            </w:r>
          </w:p>
        </w:tc>
      </w:tr>
      <w:tr>
        <w:tc>
          <w:tcPr>
            <w:tcW w:type="dxa" w:w="1584"/>
            <w:shd w:fill="F7F9FB"/>
            <w:tcMar>
              <w:top w:w="60" w:type="dxa"/>
              <w:bottom w:w="60" w:type="dxa"/>
              <w:left w:w="110" w:type="dxa"/>
              <w:right w:w="110" w:type="dxa"/>
            </w:tcMar>
          </w:tcPr>
          <w:p>
            <w:pPr>
              <w:spacing w:before="0" w:after="0"/>
            </w:pPr>
            <w:r>
              <w:rPr>
                <w:color w:val="282828"/>
                <w:sz w:val="17"/>
              </w:rPr>
              <w:t>restecg</w:t>
            </w:r>
          </w:p>
        </w:tc>
        <w:tc>
          <w:tcPr>
            <w:tcW w:type="dxa" w:w="1584"/>
            <w:shd w:fill="F7F9FB"/>
            <w:tcMar>
              <w:top w:w="60" w:type="dxa"/>
              <w:bottom w:w="60" w:type="dxa"/>
              <w:left w:w="110" w:type="dxa"/>
              <w:right w:w="110" w:type="dxa"/>
            </w:tcMar>
          </w:tcPr>
          <w:p>
            <w:pPr>
              <w:spacing w:before="0" w:after="0"/>
            </w:pPr>
            <w:r>
              <w:rPr>
                <w:color w:val="282828"/>
                <w:sz w:val="17"/>
              </w:rPr>
              <w:t>Categorical</w:t>
            </w:r>
          </w:p>
        </w:tc>
        <w:tc>
          <w:tcPr>
            <w:tcW w:type="dxa" w:w="2304"/>
            <w:shd w:fill="F7F9FB"/>
            <w:tcMar>
              <w:top w:w="60" w:type="dxa"/>
              <w:bottom w:w="60" w:type="dxa"/>
              <w:left w:w="110" w:type="dxa"/>
              <w:right w:w="110" w:type="dxa"/>
            </w:tcMar>
          </w:tcPr>
          <w:p>
            <w:pPr>
              <w:spacing w:before="0" w:after="0"/>
            </w:pPr>
            <w:r>
              <w:rPr>
                <w:color w:val="282828"/>
                <w:sz w:val="17"/>
              </w:rPr>
              <w:t>0: normal, 1: ST-T wave abn., 2: LV hypertrophy</w:t>
            </w:r>
          </w:p>
        </w:tc>
        <w:tc>
          <w:tcPr>
            <w:tcW w:type="dxa" w:w="4176"/>
            <w:shd w:fill="F7F9FB"/>
            <w:tcMar>
              <w:top w:w="60" w:type="dxa"/>
              <w:bottom w:w="60" w:type="dxa"/>
              <w:left w:w="110" w:type="dxa"/>
              <w:right w:w="110" w:type="dxa"/>
            </w:tcMar>
          </w:tcPr>
          <w:p>
            <w:pPr>
              <w:spacing w:before="0" w:after="0"/>
            </w:pPr>
            <w:r>
              <w:rPr>
                <w:color w:val="282828"/>
                <w:sz w:val="17"/>
              </w:rPr>
              <w:t>Resting electrocardiographic findings</w:t>
            </w:r>
          </w:p>
        </w:tc>
      </w:tr>
      <w:tr>
        <w:tc>
          <w:tcPr>
            <w:tcW w:type="dxa" w:w="1584"/>
            <w:shd w:fill="FFFFFF"/>
            <w:tcMar>
              <w:top w:w="60" w:type="dxa"/>
              <w:bottom w:w="60" w:type="dxa"/>
              <w:left w:w="110" w:type="dxa"/>
              <w:right w:w="110" w:type="dxa"/>
            </w:tcMar>
          </w:tcPr>
          <w:p>
            <w:pPr>
              <w:spacing w:before="0" w:after="0"/>
            </w:pPr>
            <w:r>
              <w:rPr>
                <w:color w:val="282828"/>
                <w:sz w:val="17"/>
              </w:rPr>
              <w:t>thalach</w:t>
            </w:r>
          </w:p>
        </w:tc>
        <w:tc>
          <w:tcPr>
            <w:tcW w:type="dxa" w:w="1584"/>
            <w:shd w:fill="FFFFFF"/>
            <w:tcMar>
              <w:top w:w="60" w:type="dxa"/>
              <w:bottom w:w="60" w:type="dxa"/>
              <w:left w:w="110" w:type="dxa"/>
              <w:right w:w="110" w:type="dxa"/>
            </w:tcMar>
          </w:tcPr>
          <w:p>
            <w:pPr>
              <w:spacing w:before="0" w:after="0"/>
            </w:pPr>
            <w:r>
              <w:rPr>
                <w:color w:val="282828"/>
                <w:sz w:val="17"/>
              </w:rPr>
              <w:t>Continuous</w:t>
            </w:r>
          </w:p>
        </w:tc>
        <w:tc>
          <w:tcPr>
            <w:tcW w:type="dxa" w:w="2304"/>
            <w:shd w:fill="FFFFFF"/>
            <w:tcMar>
              <w:top w:w="60" w:type="dxa"/>
              <w:bottom w:w="60" w:type="dxa"/>
              <w:left w:w="110" w:type="dxa"/>
              <w:right w:w="110" w:type="dxa"/>
            </w:tcMar>
          </w:tcPr>
          <w:p>
            <w:pPr>
              <w:spacing w:before="0" w:after="0"/>
            </w:pPr>
            <w:r>
              <w:rPr>
                <w:color w:val="282828"/>
                <w:sz w:val="17"/>
              </w:rPr>
              <w:t>71 – 202 bpm</w:t>
            </w:r>
          </w:p>
        </w:tc>
        <w:tc>
          <w:tcPr>
            <w:tcW w:type="dxa" w:w="4176"/>
            <w:shd w:fill="FFFFFF"/>
            <w:tcMar>
              <w:top w:w="60" w:type="dxa"/>
              <w:bottom w:w="60" w:type="dxa"/>
              <w:left w:w="110" w:type="dxa"/>
              <w:right w:w="110" w:type="dxa"/>
            </w:tcMar>
          </w:tcPr>
          <w:p>
            <w:pPr>
              <w:spacing w:before="0" w:after="0"/>
            </w:pPr>
            <w:r>
              <w:rPr>
                <w:color w:val="282828"/>
                <w:sz w:val="17"/>
              </w:rPr>
              <w:t>Maximum heart rate achieved during exercise</w:t>
            </w:r>
          </w:p>
        </w:tc>
      </w:tr>
      <w:tr>
        <w:tc>
          <w:tcPr>
            <w:tcW w:type="dxa" w:w="1584"/>
            <w:shd w:fill="F7F9FB"/>
            <w:tcMar>
              <w:top w:w="60" w:type="dxa"/>
              <w:bottom w:w="60" w:type="dxa"/>
              <w:left w:w="110" w:type="dxa"/>
              <w:right w:w="110" w:type="dxa"/>
            </w:tcMar>
          </w:tcPr>
          <w:p>
            <w:pPr>
              <w:spacing w:before="0" w:after="0"/>
            </w:pPr>
            <w:r>
              <w:rPr>
                <w:color w:val="282828"/>
                <w:sz w:val="17"/>
              </w:rPr>
              <w:t>exang</w:t>
            </w:r>
          </w:p>
        </w:tc>
        <w:tc>
          <w:tcPr>
            <w:tcW w:type="dxa" w:w="1584"/>
            <w:shd w:fill="F7F9FB"/>
            <w:tcMar>
              <w:top w:w="60" w:type="dxa"/>
              <w:bottom w:w="60" w:type="dxa"/>
              <w:left w:w="110" w:type="dxa"/>
              <w:right w:w="110" w:type="dxa"/>
            </w:tcMar>
          </w:tcPr>
          <w:p>
            <w:pPr>
              <w:spacing w:before="0" w:after="0"/>
            </w:pPr>
            <w:r>
              <w:rPr>
                <w:color w:val="282828"/>
                <w:sz w:val="17"/>
              </w:rPr>
              <w:t>Categorical</w:t>
            </w:r>
          </w:p>
        </w:tc>
        <w:tc>
          <w:tcPr>
            <w:tcW w:type="dxa" w:w="2304"/>
            <w:shd w:fill="F7F9FB"/>
            <w:tcMar>
              <w:top w:w="60" w:type="dxa"/>
              <w:bottom w:w="60" w:type="dxa"/>
              <w:left w:w="110" w:type="dxa"/>
              <w:right w:w="110" w:type="dxa"/>
            </w:tcMar>
          </w:tcPr>
          <w:p>
            <w:pPr>
              <w:spacing w:before="0" w:after="0"/>
            </w:pPr>
            <w:r>
              <w:rPr>
                <w:color w:val="282828"/>
                <w:sz w:val="17"/>
              </w:rPr>
              <w:t>0 = no, 1 = yes</w:t>
            </w:r>
          </w:p>
        </w:tc>
        <w:tc>
          <w:tcPr>
            <w:tcW w:type="dxa" w:w="4176"/>
            <w:shd w:fill="F7F9FB"/>
            <w:tcMar>
              <w:top w:w="60" w:type="dxa"/>
              <w:bottom w:w="60" w:type="dxa"/>
              <w:left w:w="110" w:type="dxa"/>
              <w:right w:w="110" w:type="dxa"/>
            </w:tcMar>
          </w:tcPr>
          <w:p>
            <w:pPr>
              <w:spacing w:before="0" w:after="0"/>
            </w:pPr>
            <w:r>
              <w:rPr>
                <w:color w:val="282828"/>
                <w:sz w:val="17"/>
              </w:rPr>
              <w:t>Exercise-induced angina symptom</w:t>
            </w:r>
          </w:p>
        </w:tc>
      </w:tr>
      <w:tr>
        <w:tc>
          <w:tcPr>
            <w:tcW w:type="dxa" w:w="1584"/>
            <w:shd w:fill="FFFFFF"/>
            <w:tcMar>
              <w:top w:w="60" w:type="dxa"/>
              <w:bottom w:w="60" w:type="dxa"/>
              <w:left w:w="110" w:type="dxa"/>
              <w:right w:w="110" w:type="dxa"/>
            </w:tcMar>
          </w:tcPr>
          <w:p>
            <w:pPr>
              <w:spacing w:before="0" w:after="0"/>
            </w:pPr>
            <w:r>
              <w:rPr>
                <w:color w:val="282828"/>
                <w:sz w:val="17"/>
              </w:rPr>
              <w:t>oldpeak</w:t>
            </w:r>
          </w:p>
        </w:tc>
        <w:tc>
          <w:tcPr>
            <w:tcW w:type="dxa" w:w="1584"/>
            <w:shd w:fill="FFFFFF"/>
            <w:tcMar>
              <w:top w:w="60" w:type="dxa"/>
              <w:bottom w:w="60" w:type="dxa"/>
              <w:left w:w="110" w:type="dxa"/>
              <w:right w:w="110" w:type="dxa"/>
            </w:tcMar>
          </w:tcPr>
          <w:p>
            <w:pPr>
              <w:spacing w:before="0" w:after="0"/>
            </w:pPr>
            <w:r>
              <w:rPr>
                <w:color w:val="282828"/>
                <w:sz w:val="17"/>
              </w:rPr>
              <w:t>Continuous</w:t>
            </w:r>
          </w:p>
        </w:tc>
        <w:tc>
          <w:tcPr>
            <w:tcW w:type="dxa" w:w="2304"/>
            <w:shd w:fill="FFFFFF"/>
            <w:tcMar>
              <w:top w:w="60" w:type="dxa"/>
              <w:bottom w:w="60" w:type="dxa"/>
              <w:left w:w="110" w:type="dxa"/>
              <w:right w:w="110" w:type="dxa"/>
            </w:tcMar>
          </w:tcPr>
          <w:p>
            <w:pPr>
              <w:spacing w:before="0" w:after="0"/>
            </w:pPr>
            <w:r>
              <w:rPr>
                <w:color w:val="282828"/>
                <w:sz w:val="17"/>
              </w:rPr>
              <w:t>0.0 – 6.2 mm</w:t>
            </w:r>
          </w:p>
        </w:tc>
        <w:tc>
          <w:tcPr>
            <w:tcW w:type="dxa" w:w="4176"/>
            <w:shd w:fill="FFFFFF"/>
            <w:tcMar>
              <w:top w:w="60" w:type="dxa"/>
              <w:bottom w:w="60" w:type="dxa"/>
              <w:left w:w="110" w:type="dxa"/>
              <w:right w:w="110" w:type="dxa"/>
            </w:tcMar>
          </w:tcPr>
          <w:p>
            <w:pPr>
              <w:spacing w:before="0" w:after="0"/>
            </w:pPr>
            <w:r>
              <w:rPr>
                <w:color w:val="282828"/>
                <w:sz w:val="17"/>
              </w:rPr>
              <w:t>ST depression induced by exercise relative to rest</w:t>
            </w:r>
          </w:p>
        </w:tc>
      </w:tr>
      <w:tr>
        <w:tc>
          <w:tcPr>
            <w:tcW w:type="dxa" w:w="1584"/>
            <w:shd w:fill="F7F9FB"/>
            <w:tcMar>
              <w:top w:w="60" w:type="dxa"/>
              <w:bottom w:w="60" w:type="dxa"/>
              <w:left w:w="110" w:type="dxa"/>
              <w:right w:w="110" w:type="dxa"/>
            </w:tcMar>
          </w:tcPr>
          <w:p>
            <w:pPr>
              <w:spacing w:before="0" w:after="0"/>
            </w:pPr>
            <w:r>
              <w:rPr>
                <w:color w:val="282828"/>
                <w:sz w:val="17"/>
              </w:rPr>
              <w:t>slope</w:t>
            </w:r>
          </w:p>
        </w:tc>
        <w:tc>
          <w:tcPr>
            <w:tcW w:type="dxa" w:w="1584"/>
            <w:shd w:fill="F7F9FB"/>
            <w:tcMar>
              <w:top w:w="60" w:type="dxa"/>
              <w:bottom w:w="60" w:type="dxa"/>
              <w:left w:w="110" w:type="dxa"/>
              <w:right w:w="110" w:type="dxa"/>
            </w:tcMar>
          </w:tcPr>
          <w:p>
            <w:pPr>
              <w:spacing w:before="0" w:after="0"/>
            </w:pPr>
            <w:r>
              <w:rPr>
                <w:color w:val="282828"/>
                <w:sz w:val="17"/>
              </w:rPr>
              <w:t>Categorical</w:t>
            </w:r>
          </w:p>
        </w:tc>
        <w:tc>
          <w:tcPr>
            <w:tcW w:type="dxa" w:w="2304"/>
            <w:shd w:fill="F7F9FB"/>
            <w:tcMar>
              <w:top w:w="60" w:type="dxa"/>
              <w:bottom w:w="60" w:type="dxa"/>
              <w:left w:w="110" w:type="dxa"/>
              <w:right w:w="110" w:type="dxa"/>
            </w:tcMar>
          </w:tcPr>
          <w:p>
            <w:pPr>
              <w:spacing w:before="0" w:after="0"/>
            </w:pPr>
            <w:r>
              <w:rPr>
                <w:color w:val="282828"/>
                <w:sz w:val="17"/>
              </w:rPr>
              <w:t>1: upsloping, 2: flat, 3: downsloping</w:t>
            </w:r>
          </w:p>
        </w:tc>
        <w:tc>
          <w:tcPr>
            <w:tcW w:type="dxa" w:w="4176"/>
            <w:shd w:fill="F7F9FB"/>
            <w:tcMar>
              <w:top w:w="60" w:type="dxa"/>
              <w:bottom w:w="60" w:type="dxa"/>
              <w:left w:w="110" w:type="dxa"/>
              <w:right w:w="110" w:type="dxa"/>
            </w:tcMar>
          </w:tcPr>
          <w:p>
            <w:pPr>
              <w:spacing w:before="0" w:after="0"/>
            </w:pPr>
            <w:r>
              <w:rPr>
                <w:color w:val="282828"/>
                <w:sz w:val="17"/>
              </w:rPr>
              <w:t>Peak exercise ST segment slope</w:t>
            </w:r>
          </w:p>
        </w:tc>
      </w:tr>
      <w:tr>
        <w:tc>
          <w:tcPr>
            <w:tcW w:type="dxa" w:w="1584"/>
            <w:shd w:fill="FFFFFF"/>
            <w:tcMar>
              <w:top w:w="60" w:type="dxa"/>
              <w:bottom w:w="60" w:type="dxa"/>
              <w:left w:w="110" w:type="dxa"/>
              <w:right w:w="110" w:type="dxa"/>
            </w:tcMar>
          </w:tcPr>
          <w:p>
            <w:pPr>
              <w:spacing w:before="0" w:after="0"/>
            </w:pPr>
            <w:r>
              <w:rPr>
                <w:color w:val="282828"/>
                <w:sz w:val="17"/>
              </w:rPr>
              <w:t>ca</w:t>
            </w:r>
          </w:p>
        </w:tc>
        <w:tc>
          <w:tcPr>
            <w:tcW w:type="dxa" w:w="1584"/>
            <w:shd w:fill="FFFFFF"/>
            <w:tcMar>
              <w:top w:w="60" w:type="dxa"/>
              <w:bottom w:w="60" w:type="dxa"/>
              <w:left w:w="110" w:type="dxa"/>
              <w:right w:w="110" w:type="dxa"/>
            </w:tcMar>
          </w:tcPr>
          <w:p>
            <w:pPr>
              <w:spacing w:before="0" w:after="0"/>
            </w:pPr>
            <w:r>
              <w:rPr>
                <w:color w:val="282828"/>
                <w:sz w:val="17"/>
              </w:rPr>
              <w:t>Continuous</w:t>
            </w:r>
          </w:p>
        </w:tc>
        <w:tc>
          <w:tcPr>
            <w:tcW w:type="dxa" w:w="2304"/>
            <w:shd w:fill="FFFFFF"/>
            <w:tcMar>
              <w:top w:w="60" w:type="dxa"/>
              <w:bottom w:w="60" w:type="dxa"/>
              <w:left w:w="110" w:type="dxa"/>
              <w:right w:w="110" w:type="dxa"/>
            </w:tcMar>
          </w:tcPr>
          <w:p>
            <w:pPr>
              <w:spacing w:before="0" w:after="0"/>
            </w:pPr>
            <w:r>
              <w:rPr>
                <w:color w:val="282828"/>
                <w:sz w:val="17"/>
              </w:rPr>
              <w:t>0 – 3 vessels (4 missing)</w:t>
            </w:r>
          </w:p>
        </w:tc>
        <w:tc>
          <w:tcPr>
            <w:tcW w:type="dxa" w:w="4176"/>
            <w:shd w:fill="FFFFFF"/>
            <w:tcMar>
              <w:top w:w="60" w:type="dxa"/>
              <w:bottom w:w="60" w:type="dxa"/>
              <w:left w:w="110" w:type="dxa"/>
              <w:right w:w="110" w:type="dxa"/>
            </w:tcMar>
          </w:tcPr>
          <w:p>
            <w:pPr>
              <w:spacing w:before="0" w:after="0"/>
            </w:pPr>
            <w:r>
              <w:rPr>
                <w:color w:val="282828"/>
                <w:sz w:val="17"/>
              </w:rPr>
              <w:t>Number of major vessels colored by fluoroscopy</w:t>
            </w:r>
          </w:p>
        </w:tc>
      </w:tr>
      <w:tr>
        <w:tc>
          <w:tcPr>
            <w:tcW w:type="dxa" w:w="1584"/>
            <w:shd w:fill="F7F9FB"/>
            <w:tcMar>
              <w:top w:w="60" w:type="dxa"/>
              <w:bottom w:w="60" w:type="dxa"/>
              <w:left w:w="110" w:type="dxa"/>
              <w:right w:w="110" w:type="dxa"/>
            </w:tcMar>
          </w:tcPr>
          <w:p>
            <w:pPr>
              <w:spacing w:before="0" w:after="0"/>
            </w:pPr>
            <w:r>
              <w:rPr>
                <w:color w:val="282828"/>
                <w:sz w:val="17"/>
              </w:rPr>
              <w:t>thal</w:t>
            </w:r>
          </w:p>
        </w:tc>
        <w:tc>
          <w:tcPr>
            <w:tcW w:type="dxa" w:w="1584"/>
            <w:shd w:fill="F7F9FB"/>
            <w:tcMar>
              <w:top w:w="60" w:type="dxa"/>
              <w:bottom w:w="60" w:type="dxa"/>
              <w:left w:w="110" w:type="dxa"/>
              <w:right w:w="110" w:type="dxa"/>
            </w:tcMar>
          </w:tcPr>
          <w:p>
            <w:pPr>
              <w:spacing w:before="0" w:after="0"/>
            </w:pPr>
            <w:r>
              <w:rPr>
                <w:color w:val="282828"/>
                <w:sz w:val="17"/>
              </w:rPr>
              <w:t>Categorical</w:t>
            </w:r>
          </w:p>
        </w:tc>
        <w:tc>
          <w:tcPr>
            <w:tcW w:type="dxa" w:w="2304"/>
            <w:shd w:fill="F7F9FB"/>
            <w:tcMar>
              <w:top w:w="60" w:type="dxa"/>
              <w:bottom w:w="60" w:type="dxa"/>
              <w:left w:w="110" w:type="dxa"/>
              <w:right w:w="110" w:type="dxa"/>
            </w:tcMar>
          </w:tcPr>
          <w:p>
            <w:pPr>
              <w:spacing w:before="0" w:after="0"/>
            </w:pPr>
            <w:r>
              <w:rPr>
                <w:color w:val="282828"/>
                <w:sz w:val="17"/>
              </w:rPr>
              <w:t>3: normal, 6: fixed defect, 7: revers. (2 miss.)</w:t>
            </w:r>
          </w:p>
        </w:tc>
        <w:tc>
          <w:tcPr>
            <w:tcW w:type="dxa" w:w="4176"/>
            <w:shd w:fill="F7F9FB"/>
            <w:tcMar>
              <w:top w:w="60" w:type="dxa"/>
              <w:bottom w:w="60" w:type="dxa"/>
              <w:left w:w="110" w:type="dxa"/>
              <w:right w:w="110" w:type="dxa"/>
            </w:tcMar>
          </w:tcPr>
          <w:p>
            <w:pPr>
              <w:spacing w:before="0" w:after="0"/>
            </w:pPr>
            <w:r>
              <w:rPr>
                <w:color w:val="282828"/>
                <w:sz w:val="17"/>
              </w:rPr>
              <w:t>Thallium-201 myocardial scintigraphy defect</w:t>
            </w:r>
          </w:p>
        </w:tc>
      </w:tr>
      <w:tr>
        <w:tc>
          <w:tcPr>
            <w:tcW w:type="dxa" w:w="1584"/>
            <w:shd w:fill="FFFFFF"/>
            <w:tcMar>
              <w:top w:w="60" w:type="dxa"/>
              <w:bottom w:w="60" w:type="dxa"/>
              <w:left w:w="110" w:type="dxa"/>
              <w:right w:w="110" w:type="dxa"/>
            </w:tcMar>
          </w:tcPr>
          <w:p>
            <w:pPr>
              <w:spacing w:before="0" w:after="0"/>
            </w:pPr>
            <w:r>
              <w:rPr>
                <w:color w:val="282828"/>
                <w:sz w:val="17"/>
              </w:rPr>
              <w:t>target (num)</w:t>
            </w:r>
          </w:p>
        </w:tc>
        <w:tc>
          <w:tcPr>
            <w:tcW w:type="dxa" w:w="1584"/>
            <w:shd w:fill="FFFFFF"/>
            <w:tcMar>
              <w:top w:w="60" w:type="dxa"/>
              <w:bottom w:w="60" w:type="dxa"/>
              <w:left w:w="110" w:type="dxa"/>
              <w:right w:w="110" w:type="dxa"/>
            </w:tcMar>
          </w:tcPr>
          <w:p>
            <w:pPr>
              <w:spacing w:before="0" w:after="0"/>
            </w:pPr>
            <w:r>
              <w:rPr>
                <w:color w:val="282828"/>
                <w:sz w:val="17"/>
              </w:rPr>
              <w:t>Binary</w:t>
            </w:r>
          </w:p>
        </w:tc>
        <w:tc>
          <w:tcPr>
            <w:tcW w:type="dxa" w:w="2304"/>
            <w:shd w:fill="FFFFFF"/>
            <w:tcMar>
              <w:top w:w="60" w:type="dxa"/>
              <w:bottom w:w="60" w:type="dxa"/>
              <w:left w:w="110" w:type="dxa"/>
              <w:right w:w="110" w:type="dxa"/>
            </w:tcMar>
          </w:tcPr>
          <w:p>
            <w:pPr>
              <w:spacing w:before="0" w:after="0"/>
            </w:pPr>
            <w:r>
              <w:rPr>
                <w:color w:val="282828"/>
                <w:sz w:val="17"/>
              </w:rPr>
              <w:t>0 = healthy (absent), 1 = disease (present)</w:t>
            </w:r>
          </w:p>
        </w:tc>
        <w:tc>
          <w:tcPr>
            <w:tcW w:type="dxa" w:w="4176"/>
            <w:shd w:fill="FFFFFF"/>
            <w:tcMar>
              <w:top w:w="60" w:type="dxa"/>
              <w:bottom w:w="60" w:type="dxa"/>
              <w:left w:w="110" w:type="dxa"/>
              <w:right w:w="110" w:type="dxa"/>
            </w:tcMar>
          </w:tcPr>
          <w:p>
            <w:pPr>
              <w:spacing w:before="0" w:after="0"/>
            </w:pPr>
            <w:r>
              <w:rPr>
                <w:color w:val="282828"/>
                <w:sz w:val="17"/>
              </w:rPr>
              <w:t>Angiographic coronary artery disease status</w:t>
            </w:r>
          </w:p>
        </w:tc>
      </w:tr>
    </w:tbl>
    <w:p>
      <w:pPr>
        <w:pStyle w:val="Heading2"/>
        <w:keepNext/>
        <w:spacing w:before="160" w:after="40"/>
      </w:pPr>
      <w:r>
        <w:rPr>
          <w:b/>
          <w:color w:val="294A6E"/>
          <w:sz w:val="22"/>
        </w:rPr>
        <w:t>3.2 Data Sanitization and Data Leakage Prevention</w:t>
      </w:r>
    </w:p>
    <w:p>
      <w:pPr>
        <w:spacing w:before="0" w:after="60" w:line="269" w:lineRule="auto"/>
      </w:pPr>
      <w:r>
        <w:rPr>
          <w:color w:val="232323"/>
          <w:sz w:val="19"/>
        </w:rPr>
        <w:t>Raw UCI data marks missing entries with '?' characters. The ingestion script parses these to IEEE NaN floats. Six total entries contain missing values: four in 'ca' and two in 'thal'. One duplicate row is removed. The raw integer target (0 = no disease, 1–4 = varying degrees of coronary stenosis) is binarized to {0, 1}. Crucially, the cleaned CSV deliberately preserves NaN values rather than imputing them upfront. Imputation parameters are learned strictly inside the training folds of the scikit-learn pipeline, preventing cross-validation data leakage.</w:t>
      </w:r>
    </w:p>
    <w:p>
      <w:pPr>
        <w:pStyle w:val="Heading2"/>
        <w:keepNext/>
        <w:spacing w:before="160" w:after="40"/>
      </w:pPr>
      <w:r>
        <w:rPr>
          <w:b/>
          <w:color w:val="294A6E"/>
          <w:sz w:val="22"/>
        </w:rPr>
        <w:t>3.3 Exploratory Data Analysis &amp; Empirical Observations</w:t>
      </w:r>
    </w:p>
    <w:p>
      <w:pPr>
        <w:spacing w:before="0" w:after="60" w:line="269" w:lineRule="auto"/>
      </w:pPr>
      <w:r>
        <w:rPr>
          <w:color w:val="232323"/>
          <w:sz w:val="19"/>
        </w:rPr>
        <w:t>Executing python -m heart.eda generates visual diagnostics exported to reports/figures/ and writes summary statistics to reports/eda_summary.txt. Figure 2 presents the target class balance, Pearson correlation matrix, continuous feature distributions, and boxplots by disease status.</w:t>
      </w:r>
    </w:p>
    <w:tbl>
      <w:tblPr>
        <w:tblW w:type="auto" w:w="0"/>
        <w:jc w:val="center"/>
        <w:tblLook w:firstColumn="1" w:firstRow="1" w:lastColumn="0" w:lastRow="0" w:noHBand="0" w:noVBand="1" w:val="04A0"/>
      </w:tblPr>
      <w:tblGrid>
        <w:gridCol w:w="4874"/>
        <w:gridCol w:w="4874"/>
      </w:tblGrid>
      <w:tr>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2470912"/>
                  <wp:docPr id="2" name="Picture 2"/>
                  <wp:cNvGraphicFramePr>
                    <a:graphicFrameLocks noChangeAspect="1"/>
                  </wp:cNvGraphicFramePr>
                  <a:graphic>
                    <a:graphicData uri="http://schemas.openxmlformats.org/drawingml/2006/picture">
                      <pic:pic>
                        <pic:nvPicPr>
                          <pic:cNvPr id="0" name="01_eda_class_balance.png"/>
                          <pic:cNvPicPr/>
                        </pic:nvPicPr>
                        <pic:blipFill>
                          <a:blip r:embed="rId10"/>
                          <a:stretch>
                            <a:fillRect/>
                          </a:stretch>
                        </pic:blipFill>
                        <pic:spPr>
                          <a:xfrm>
                            <a:off x="0" y="0"/>
                            <a:ext cx="2926080" cy="2470912"/>
                          </a:xfrm>
                          <a:prstGeom prst="rect"/>
                        </pic:spPr>
                      </pic:pic>
                    </a:graphicData>
                  </a:graphic>
                </wp:inline>
              </w:drawing>
            </w:r>
          </w:p>
        </w:tc>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2438400"/>
                  <wp:docPr id="3" name="Picture 3"/>
                  <wp:cNvGraphicFramePr>
                    <a:graphicFrameLocks noChangeAspect="1"/>
                  </wp:cNvGraphicFramePr>
                  <a:graphic>
                    <a:graphicData uri="http://schemas.openxmlformats.org/drawingml/2006/picture">
                      <pic:pic>
                        <pic:nvPicPr>
                          <pic:cNvPr id="0" name="02_eda_correlation.png"/>
                          <pic:cNvPicPr/>
                        </pic:nvPicPr>
                        <pic:blipFill>
                          <a:blip r:embed="rId11"/>
                          <a:stretch>
                            <a:fillRect/>
                          </a:stretch>
                        </pic:blipFill>
                        <pic:spPr>
                          <a:xfrm>
                            <a:off x="0" y="0"/>
                            <a:ext cx="2926080" cy="2438400"/>
                          </a:xfrm>
                          <a:prstGeom prst="rect"/>
                        </pic:spPr>
                      </pic:pic>
                    </a:graphicData>
                  </a:graphic>
                </wp:inline>
              </w:drawing>
            </w:r>
          </w:p>
        </w:tc>
      </w:tr>
      <w:tr>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706880"/>
                  <wp:docPr id="4" name="Picture 4"/>
                  <wp:cNvGraphicFramePr>
                    <a:graphicFrameLocks noChangeAspect="1"/>
                  </wp:cNvGraphicFramePr>
                  <a:graphic>
                    <a:graphicData uri="http://schemas.openxmlformats.org/drawingml/2006/picture">
                      <pic:pic>
                        <pic:nvPicPr>
                          <pic:cNvPr id="0" name="02b_eda_histograms.png"/>
                          <pic:cNvPicPr/>
                        </pic:nvPicPr>
                        <pic:blipFill>
                          <a:blip r:embed="rId12"/>
                          <a:stretch>
                            <a:fillRect/>
                          </a:stretch>
                        </pic:blipFill>
                        <pic:spPr>
                          <a:xfrm>
                            <a:off x="0" y="0"/>
                            <a:ext cx="2926080" cy="1706880"/>
                          </a:xfrm>
                          <a:prstGeom prst="rect"/>
                        </pic:spPr>
                      </pic:pic>
                    </a:graphicData>
                  </a:graphic>
                </wp:inline>
              </w:drawing>
            </w:r>
          </w:p>
        </w:tc>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780288"/>
                  <wp:docPr id="5" name="Picture 5"/>
                  <wp:cNvGraphicFramePr>
                    <a:graphicFrameLocks noChangeAspect="1"/>
                  </wp:cNvGraphicFramePr>
                  <a:graphic>
                    <a:graphicData uri="http://schemas.openxmlformats.org/drawingml/2006/picture">
                      <pic:pic>
                        <pic:nvPicPr>
                          <pic:cNvPr id="0" name="02c_eda_boxplots.png"/>
                          <pic:cNvPicPr/>
                        </pic:nvPicPr>
                        <pic:blipFill>
                          <a:blip r:embed="rId13"/>
                          <a:stretch>
                            <a:fillRect/>
                          </a:stretch>
                        </pic:blipFill>
                        <pic:spPr>
                          <a:xfrm>
                            <a:off x="0" y="0"/>
                            <a:ext cx="2926080" cy="780288"/>
                          </a:xfrm>
                          <a:prstGeom prst="rect"/>
                        </pic:spPr>
                      </pic:pic>
                    </a:graphicData>
                  </a:graphic>
                </wp:inline>
              </w:drawing>
            </w:r>
          </w:p>
        </w:tc>
      </w:tr>
    </w:tbl>
    <w:p>
      <w:pPr>
        <w:spacing w:before="20" w:after="100"/>
        <w:jc w:val="center"/>
      </w:pPr>
      <w:r>
        <w:rPr>
          <w:i/>
          <w:color w:val="505050"/>
          <w:sz w:val="16"/>
        </w:rPr>
        <w:t>Figure 2: Comprehensive EDA suite — (Top-Left) Class balance (54.1% healthy, 45.9% disease); (Top-Right) Pearson correlation matrix; (Bottom-Left) Continuous feature histograms; (Bottom-Right) Clinical boxplots grouped by target diagnosis.</w:t>
      </w:r>
    </w:p>
    <w:p>
      <w:pPr>
        <w:spacing w:before="0" w:after="60" w:line="269" w:lineRule="auto"/>
      </w:pPr>
      <w:r>
        <w:rPr>
          <w:b/>
          <w:color w:val="1B365D"/>
        </w:rPr>
        <w:t xml:space="preserve">Empirical Insights: </w:t>
      </w:r>
      <w:r>
        <w:rPr>
          <w:color w:val="232323"/>
          <w:sz w:val="19"/>
        </w:rPr>
        <w:t>Key clinical observations from exploratory analysis:</w:t>
      </w:r>
    </w:p>
    <w:p>
      <w:pPr>
        <w:pStyle w:val="ListBullet"/>
        <w:spacing w:before="0" w:after="40" w:line="269" w:lineRule="auto"/>
      </w:pPr>
      <w:r>
        <w:rPr>
          <w:b/>
          <w:color w:val="1B365D"/>
        </w:rPr>
        <w:t xml:space="preserve">Class Distribution: </w:t>
      </w:r>
      <w:r>
        <w:rPr>
          <w:color w:val="232323"/>
          <w:sz w:val="19"/>
        </w:rPr>
        <w:t>164 healthy subjects (54.1%) vs 138 disease subjects (45.9%). Well-balanced distribution avoids degenerate majority-class bias.</w:t>
      </w:r>
    </w:p>
    <w:p>
      <w:pPr>
        <w:pStyle w:val="ListBullet"/>
        <w:spacing w:before="0" w:after="40" w:line="269" w:lineRule="auto"/>
      </w:pPr>
      <w:r>
        <w:rPr>
          <w:b/>
          <w:color w:val="1B365D"/>
        </w:rPr>
        <w:t xml:space="preserve">Maximum Heart Rate (thalach): </w:t>
      </w:r>
      <w:r>
        <w:rPr>
          <w:color w:val="232323"/>
          <w:sz w:val="19"/>
        </w:rPr>
        <w:t>Exhibits strong negative correlation with disease (r = -0.42). Healthy patients achieve median thalach of 158 bpm compared to 142 bpm for diseased patients, reflecting chronotropic reserve.</w:t>
      </w:r>
    </w:p>
    <w:p>
      <w:pPr>
        <w:pStyle w:val="ListBullet"/>
        <w:spacing w:before="0" w:after="40" w:line="269" w:lineRule="auto"/>
      </w:pPr>
      <w:r>
        <w:rPr>
          <w:b/>
          <w:color w:val="1B365D"/>
        </w:rPr>
        <w:t xml:space="preserve">Exercise ST Depression (oldpeak): </w:t>
      </w:r>
      <w:r>
        <w:rPr>
          <w:color w:val="232323"/>
          <w:sz w:val="19"/>
        </w:rPr>
        <w:t>Positively correlated with coronary disease (r = +0.42). Healthy individuals exhibit median ST depression of 0.0 mm vs 1.4 mm in diseased patients.</w:t>
      </w:r>
    </w:p>
    <w:p>
      <w:pPr>
        <w:pStyle w:val="ListBullet"/>
        <w:spacing w:before="0" w:after="40" w:line="269" w:lineRule="auto"/>
      </w:pPr>
      <w:r>
        <w:rPr>
          <w:b/>
          <w:color w:val="1B365D"/>
        </w:rPr>
        <w:t xml:space="preserve">Chest Pain Type (cp): </w:t>
      </w:r>
      <w:r>
        <w:rPr>
          <w:color w:val="232323"/>
          <w:sz w:val="19"/>
        </w:rPr>
        <w:t>Asymptomatic presentation (cp = 4) exhibits the highest disease incidence (&gt;72%), demonstrating that advanced coronary obstruction frequently manifests without typical angina.</w:t>
      </w:r>
    </w:p>
    <w:p>
      <w:pPr>
        <w:pStyle w:val="Heading1"/>
        <w:keepNext/>
        <w:spacing w:before="220" w:after="60"/>
      </w:pPr>
      <w:r>
        <w:rPr>
          <w:b/>
          <w:color w:val="1B365D"/>
          <w:sz w:val="26"/>
        </w:rPr>
        <w:t>4. Feature Engineering and Model Development</w:t>
      </w:r>
    </w:p>
    <w:p>
      <w:pPr>
        <w:pStyle w:val="Heading2"/>
        <w:keepNext/>
        <w:spacing w:before="160" w:after="40"/>
      </w:pPr>
      <w:r>
        <w:rPr>
          <w:b/>
          <w:color w:val="294A6E"/>
          <w:sz w:val="22"/>
        </w:rPr>
        <w:t>4.1 Preprocessing Pipeline Design</w:t>
      </w:r>
    </w:p>
    <w:p>
      <w:pPr>
        <w:spacing w:before="0" w:after="60" w:line="269" w:lineRule="auto"/>
      </w:pPr>
      <w:r>
        <w:rPr>
          <w:color w:val="232323"/>
          <w:sz w:val="19"/>
        </w:rPr>
        <w:t>To ensure modularity and prevent train-serving skew, all feature transformations are encapsulated in a single scikit-learn ColumnTransformer (src/heart/features.py):</w:t>
      </w:r>
    </w:p>
    <w:p>
      <w:pPr>
        <w:pStyle w:val="ListBullet"/>
        <w:spacing w:before="0" w:after="40" w:line="269" w:lineRule="auto"/>
      </w:pPr>
      <w:r>
        <w:rPr>
          <w:b/>
          <w:color w:val="1B365D"/>
        </w:rPr>
        <w:t xml:space="preserve">Numeric Pipeline (age, trestbps, chol, thalach, oldpeak, ca): </w:t>
      </w:r>
      <w:r>
        <w:rPr>
          <w:color w:val="232323"/>
          <w:sz w:val="19"/>
        </w:rPr>
        <w:t>Median imputation (SimpleImputer) followed by z-score standardization (StandardScaler).</w:t>
      </w:r>
    </w:p>
    <w:p>
      <w:pPr>
        <w:pStyle w:val="ListBullet"/>
        <w:spacing w:before="0" w:after="40" w:line="269" w:lineRule="auto"/>
      </w:pPr>
      <w:r>
        <w:rPr>
          <w:b/>
          <w:color w:val="1B365D"/>
        </w:rPr>
        <w:t xml:space="preserve">Categorical Pipeline (sex, cp, fbs, restecg, exang, slope, thal): </w:t>
      </w:r>
      <w:r>
        <w:rPr>
          <w:color w:val="232323"/>
          <w:sz w:val="19"/>
        </w:rPr>
        <w:t>Most-frequent imputation followed by one-hot encoding (OneHotEncoder(handle_unknown='ignore')).</w:t>
      </w:r>
    </w:p>
    <w:p>
      <w:pPr>
        <w:pStyle w:val="Heading2"/>
        <w:keepNext/>
        <w:spacing w:before="160" w:after="40"/>
      </w:pPr>
      <w:r>
        <w:rPr>
          <w:b/>
          <w:color w:val="294A6E"/>
          <w:sz w:val="22"/>
        </w:rPr>
        <w:t>4.2 Candidate Classifiers and Inductive Biases</w:t>
      </w:r>
    </w:p>
    <w:p>
      <w:pPr>
        <w:spacing w:before="0" w:after="60" w:line="269" w:lineRule="auto"/>
      </w:pPr>
      <w:r>
        <w:rPr>
          <w:color w:val="232323"/>
          <w:sz w:val="19"/>
        </w:rPr>
        <w:t>Three distinct algorithmic families were selected to explore differing inductive biases:</w:t>
      </w:r>
    </w:p>
    <w:p>
      <w:pPr>
        <w:pStyle w:val="ListBullet"/>
        <w:spacing w:before="0" w:after="40" w:line="269" w:lineRule="auto"/>
      </w:pPr>
      <w:r>
        <w:rPr>
          <w:b/>
          <w:color w:val="1B365D"/>
        </w:rPr>
        <w:t xml:space="preserve">Logistic Regression (L2-regularized): </w:t>
      </w:r>
      <w:r>
        <w:rPr>
          <w:color w:val="232323"/>
          <w:sz w:val="19"/>
        </w:rPr>
        <w:t>Linear decision boundary with calibrated probabilistic outputs; robust against overfitting on small medical cohorts (N=242 train).</w:t>
      </w:r>
    </w:p>
    <w:p>
      <w:pPr>
        <w:pStyle w:val="ListBullet"/>
        <w:spacing w:before="0" w:after="40" w:line="269" w:lineRule="auto"/>
      </w:pPr>
      <w:r>
        <w:rPr>
          <w:b/>
          <w:color w:val="1B365D"/>
        </w:rPr>
        <w:t xml:space="preserve">Random Forest: </w:t>
      </w:r>
      <w:r>
        <w:rPr>
          <w:color w:val="232323"/>
          <w:sz w:val="19"/>
        </w:rPr>
        <w:t>Non-linear bagging ensemble of decision trees with feature sub-sampling, reducing estimation variance.</w:t>
      </w:r>
    </w:p>
    <w:p>
      <w:pPr>
        <w:pStyle w:val="ListBullet"/>
        <w:spacing w:before="0" w:after="40" w:line="269" w:lineRule="auto"/>
      </w:pPr>
      <w:r>
        <w:rPr>
          <w:b/>
          <w:color w:val="1B365D"/>
        </w:rPr>
        <w:t xml:space="preserve">Gradient Boosting: </w:t>
      </w:r>
      <w:r>
        <w:rPr>
          <w:color w:val="232323"/>
          <w:sz w:val="19"/>
        </w:rPr>
        <w:t>Sequential boosting ensemble minimizing binomial deviance, capable of capturing complex non-linear feature interactions.</w:t>
      </w:r>
    </w:p>
    <w:p>
      <w:pPr>
        <w:pStyle w:val="Heading2"/>
        <w:keepNext/>
        <w:spacing w:before="160" w:after="40"/>
      </w:pPr>
      <w:r>
        <w:rPr>
          <w:b/>
          <w:color w:val="294A6E"/>
          <w:sz w:val="22"/>
        </w:rPr>
        <w:t>4.3 Evaluation Protocol &amp; Experimental Results</w:t>
      </w:r>
    </w:p>
    <w:p>
      <w:pPr>
        <w:spacing w:before="0" w:after="60" w:line="269" w:lineRule="auto"/>
      </w:pPr>
      <w:r>
        <w:rPr>
          <w:color w:val="232323"/>
          <w:sz w:val="19"/>
        </w:rPr>
        <w:t>Model evaluation utilizes a nested cross-validation protocol (5 outer folds, 3 inner folds) on the 80% development split (N=242), with a held-out test split (20%, N=61) reserved exclusively for final evaluation. Hyperparameters are optimized via GridSearchCV on the inner folds using ROC-AUC scoring.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219"/>
        <w:gridCol w:w="1219"/>
        <w:gridCol w:w="1219"/>
        <w:gridCol w:w="1219"/>
        <w:gridCol w:w="1219"/>
        <w:gridCol w:w="1219"/>
        <w:gridCol w:w="1219"/>
        <w:gridCol w:w="1219"/>
      </w:tblGrid>
      <w:tr>
        <w:tc>
          <w:tcPr>
            <w:tcW w:type="dxa" w:w="1728"/>
            <w:shd w:fill="1B365D"/>
            <w:tcMar>
              <w:top w:w="90" w:type="dxa"/>
              <w:bottom w:w="90" w:type="dxa"/>
              <w:left w:w="110" w:type="dxa"/>
              <w:right w:w="110" w:type="dxa"/>
            </w:tcMar>
          </w:tcPr>
          <w:p>
            <w:pPr>
              <w:spacing w:before="0" w:after="0"/>
            </w:pPr>
            <w:r>
              <w:rPr>
                <w:b/>
                <w:color w:val="FFFFFF"/>
                <w:sz w:val="17"/>
              </w:rPr>
              <w:t>Candidate Model</w:t>
            </w:r>
          </w:p>
        </w:tc>
        <w:tc>
          <w:tcPr>
            <w:tcW w:type="dxa" w:w="1152"/>
            <w:shd w:fill="1B365D"/>
            <w:tcMar>
              <w:top w:w="90" w:type="dxa"/>
              <w:bottom w:w="90" w:type="dxa"/>
              <w:left w:w="110" w:type="dxa"/>
              <w:right w:w="110" w:type="dxa"/>
            </w:tcMar>
          </w:tcPr>
          <w:p>
            <w:pPr>
              <w:spacing w:before="0" w:after="0"/>
            </w:pPr>
            <w:r>
              <w:rPr>
                <w:b/>
                <w:color w:val="FFFFFF"/>
                <w:sz w:val="17"/>
              </w:rPr>
              <w:t>CV Acc.</w:t>
            </w:r>
          </w:p>
        </w:tc>
        <w:tc>
          <w:tcPr>
            <w:tcW w:type="dxa" w:w="1152"/>
            <w:shd w:fill="1B365D"/>
            <w:tcMar>
              <w:top w:w="90" w:type="dxa"/>
              <w:bottom w:w="90" w:type="dxa"/>
              <w:left w:w="110" w:type="dxa"/>
              <w:right w:w="110" w:type="dxa"/>
            </w:tcMar>
          </w:tcPr>
          <w:p>
            <w:pPr>
              <w:spacing w:before="0" w:after="0"/>
            </w:pPr>
            <w:r>
              <w:rPr>
                <w:b/>
                <w:color w:val="FFFFFF"/>
                <w:sz w:val="17"/>
              </w:rPr>
              <w:t>CV Prec.</w:t>
            </w:r>
          </w:p>
        </w:tc>
        <w:tc>
          <w:tcPr>
            <w:tcW w:type="dxa" w:w="1152"/>
            <w:shd w:fill="1B365D"/>
            <w:tcMar>
              <w:top w:w="90" w:type="dxa"/>
              <w:bottom w:w="90" w:type="dxa"/>
              <w:left w:w="110" w:type="dxa"/>
              <w:right w:w="110" w:type="dxa"/>
            </w:tcMar>
          </w:tcPr>
          <w:p>
            <w:pPr>
              <w:spacing w:before="0" w:after="0"/>
            </w:pPr>
            <w:r>
              <w:rPr>
                <w:b/>
                <w:color w:val="FFFFFF"/>
                <w:sz w:val="17"/>
              </w:rPr>
              <w:t>CV Rec.</w:t>
            </w:r>
          </w:p>
        </w:tc>
        <w:tc>
          <w:tcPr>
            <w:tcW w:type="dxa" w:w="1152"/>
            <w:shd w:fill="1B365D"/>
            <w:tcMar>
              <w:top w:w="90" w:type="dxa"/>
              <w:bottom w:w="90" w:type="dxa"/>
              <w:left w:w="110" w:type="dxa"/>
              <w:right w:w="110" w:type="dxa"/>
            </w:tcMar>
          </w:tcPr>
          <w:p>
            <w:pPr>
              <w:spacing w:before="0" w:after="0"/>
            </w:pPr>
            <w:r>
              <w:rPr>
                <w:b/>
                <w:color w:val="FFFFFF"/>
                <w:sz w:val="17"/>
              </w:rPr>
              <w:t>CV F1</w:t>
            </w:r>
          </w:p>
        </w:tc>
        <w:tc>
          <w:tcPr>
            <w:tcW w:type="dxa" w:w="1584"/>
            <w:shd w:fill="1B365D"/>
            <w:tcMar>
              <w:top w:w="90" w:type="dxa"/>
              <w:bottom w:w="90" w:type="dxa"/>
              <w:left w:w="110" w:type="dxa"/>
              <w:right w:w="110" w:type="dxa"/>
            </w:tcMar>
          </w:tcPr>
          <w:p>
            <w:pPr>
              <w:spacing w:before="0" w:after="0"/>
            </w:pPr>
            <w:r>
              <w:rPr>
                <w:b/>
                <w:color w:val="FFFFFF"/>
                <w:sz w:val="17"/>
              </w:rPr>
              <w:t>CV ROC-AUC</w:t>
            </w:r>
          </w:p>
        </w:tc>
        <w:tc>
          <w:tcPr>
            <w:tcW w:type="dxa" w:w="864"/>
            <w:shd w:fill="1B365D"/>
            <w:tcMar>
              <w:top w:w="90" w:type="dxa"/>
              <w:bottom w:w="90" w:type="dxa"/>
              <w:left w:w="110" w:type="dxa"/>
              <w:right w:w="110" w:type="dxa"/>
            </w:tcMar>
          </w:tcPr>
          <w:p>
            <w:pPr>
              <w:spacing w:before="0" w:after="0"/>
            </w:pPr>
            <w:r>
              <w:rPr>
                <w:b/>
                <w:color w:val="FFFFFF"/>
                <w:sz w:val="17"/>
              </w:rPr>
              <w:t>Test Acc.</w:t>
            </w:r>
          </w:p>
        </w:tc>
        <w:tc>
          <w:tcPr>
            <w:tcW w:type="dxa" w:w="864"/>
            <w:shd w:fill="1B365D"/>
            <w:tcMar>
              <w:top w:w="90" w:type="dxa"/>
              <w:bottom w:w="90" w:type="dxa"/>
              <w:left w:w="110" w:type="dxa"/>
              <w:right w:w="110" w:type="dxa"/>
            </w:tcMar>
          </w:tcPr>
          <w:p>
            <w:pPr>
              <w:spacing w:before="0" w:after="0"/>
            </w:pPr>
            <w:r>
              <w:rPr>
                <w:b/>
                <w:color w:val="FFFFFF"/>
                <w:sz w:val="17"/>
              </w:rPr>
              <w:t>Test AUC</w:t>
            </w:r>
          </w:p>
        </w:tc>
      </w:tr>
      <w:tr>
        <w:tc>
          <w:tcPr>
            <w:tcW w:type="dxa" w:w="1728"/>
            <w:shd w:fill="F7F9FB"/>
            <w:tcMar>
              <w:top w:w="60" w:type="dxa"/>
              <w:bottom w:w="60" w:type="dxa"/>
              <w:left w:w="110" w:type="dxa"/>
              <w:right w:w="110" w:type="dxa"/>
            </w:tcMar>
          </w:tcPr>
          <w:p>
            <w:pPr>
              <w:spacing w:before="0" w:after="0"/>
            </w:pPr>
            <w:r>
              <w:rPr>
                <w:color w:val="282828"/>
                <w:sz w:val="17"/>
              </w:rPr>
              <w:t>Logistic Regression</w:t>
            </w:r>
          </w:p>
        </w:tc>
        <w:tc>
          <w:tcPr>
            <w:tcW w:type="dxa" w:w="1152"/>
            <w:shd w:fill="F7F9FB"/>
            <w:tcMar>
              <w:top w:w="60" w:type="dxa"/>
              <w:bottom w:w="60" w:type="dxa"/>
              <w:left w:w="110" w:type="dxa"/>
              <w:right w:w="110" w:type="dxa"/>
            </w:tcMar>
          </w:tcPr>
          <w:p>
            <w:pPr>
              <w:spacing w:before="0" w:after="0"/>
            </w:pPr>
            <w:r>
              <w:rPr>
                <w:color w:val="282828"/>
                <w:sz w:val="17"/>
              </w:rPr>
              <w:t>0.8305</w:t>
            </w:r>
          </w:p>
        </w:tc>
        <w:tc>
          <w:tcPr>
            <w:tcW w:type="dxa" w:w="1152"/>
            <w:shd w:fill="F7F9FB"/>
            <w:tcMar>
              <w:top w:w="60" w:type="dxa"/>
              <w:bottom w:w="60" w:type="dxa"/>
              <w:left w:w="110" w:type="dxa"/>
              <w:right w:w="110" w:type="dxa"/>
            </w:tcMar>
          </w:tcPr>
          <w:p>
            <w:pPr>
              <w:spacing w:before="0" w:after="0"/>
            </w:pPr>
            <w:r>
              <w:rPr>
                <w:color w:val="282828"/>
                <w:sz w:val="17"/>
              </w:rPr>
              <w:t>0.8594</w:t>
            </w:r>
          </w:p>
        </w:tc>
        <w:tc>
          <w:tcPr>
            <w:tcW w:type="dxa" w:w="1152"/>
            <w:shd w:fill="F7F9FB"/>
            <w:tcMar>
              <w:top w:w="60" w:type="dxa"/>
              <w:bottom w:w="60" w:type="dxa"/>
              <w:left w:w="110" w:type="dxa"/>
              <w:right w:w="110" w:type="dxa"/>
            </w:tcMar>
          </w:tcPr>
          <w:p>
            <w:pPr>
              <w:spacing w:before="0" w:after="0"/>
            </w:pPr>
            <w:r>
              <w:rPr>
                <w:color w:val="282828"/>
                <w:sz w:val="17"/>
              </w:rPr>
              <w:t>0.7652</w:t>
            </w:r>
          </w:p>
        </w:tc>
        <w:tc>
          <w:tcPr>
            <w:tcW w:type="dxa" w:w="1152"/>
            <w:shd w:fill="F7F9FB"/>
            <w:tcMar>
              <w:top w:w="60" w:type="dxa"/>
              <w:bottom w:w="60" w:type="dxa"/>
              <w:left w:w="110" w:type="dxa"/>
              <w:right w:w="110" w:type="dxa"/>
            </w:tcMar>
          </w:tcPr>
          <w:p>
            <w:pPr>
              <w:spacing w:before="0" w:after="0"/>
            </w:pPr>
            <w:r>
              <w:rPr>
                <w:color w:val="282828"/>
                <w:sz w:val="17"/>
              </w:rPr>
              <w:t>0.8054</w:t>
            </w:r>
          </w:p>
        </w:tc>
        <w:tc>
          <w:tcPr>
            <w:tcW w:type="dxa" w:w="1584"/>
            <w:shd w:fill="F7F9FB"/>
            <w:tcMar>
              <w:top w:w="60" w:type="dxa"/>
              <w:bottom w:w="60" w:type="dxa"/>
              <w:left w:w="110" w:type="dxa"/>
              <w:right w:w="110" w:type="dxa"/>
            </w:tcMar>
          </w:tcPr>
          <w:p>
            <w:pPr>
              <w:spacing w:before="0" w:after="0"/>
            </w:pPr>
            <w:r>
              <w:rPr>
                <w:color w:val="282828"/>
                <w:sz w:val="17"/>
              </w:rPr>
              <w:t>0.9018 ± 0.0156</w:t>
            </w:r>
          </w:p>
        </w:tc>
        <w:tc>
          <w:tcPr>
            <w:tcW w:type="dxa" w:w="864"/>
            <w:shd w:fill="F7F9FB"/>
            <w:tcMar>
              <w:top w:w="60" w:type="dxa"/>
              <w:bottom w:w="60" w:type="dxa"/>
              <w:left w:w="110" w:type="dxa"/>
              <w:right w:w="110" w:type="dxa"/>
            </w:tcMar>
          </w:tcPr>
          <w:p>
            <w:pPr>
              <w:spacing w:before="0" w:after="0"/>
            </w:pPr>
            <w:r>
              <w:rPr>
                <w:color w:val="282828"/>
                <w:sz w:val="17"/>
              </w:rPr>
              <w:t>88.52%</w:t>
            </w:r>
          </w:p>
        </w:tc>
        <w:tc>
          <w:tcPr>
            <w:tcW w:type="dxa" w:w="864"/>
            <w:shd w:fill="F7F9FB"/>
            <w:tcMar>
              <w:top w:w="60" w:type="dxa"/>
              <w:bottom w:w="60" w:type="dxa"/>
              <w:left w:w="110" w:type="dxa"/>
              <w:right w:w="110" w:type="dxa"/>
            </w:tcMar>
          </w:tcPr>
          <w:p>
            <w:pPr>
              <w:spacing w:before="0" w:after="0"/>
            </w:pPr>
            <w:r>
              <w:rPr>
                <w:color w:val="282828"/>
                <w:sz w:val="17"/>
              </w:rPr>
              <w:t>0.9665</w:t>
            </w:r>
          </w:p>
        </w:tc>
      </w:tr>
      <w:tr>
        <w:tc>
          <w:tcPr>
            <w:tcW w:type="dxa" w:w="1728"/>
            <w:shd w:fill="FFFFFF"/>
            <w:tcMar>
              <w:top w:w="60" w:type="dxa"/>
              <w:bottom w:w="60" w:type="dxa"/>
              <w:left w:w="110" w:type="dxa"/>
              <w:right w:w="110" w:type="dxa"/>
            </w:tcMar>
          </w:tcPr>
          <w:p>
            <w:pPr>
              <w:spacing w:before="0" w:after="0"/>
            </w:pPr>
            <w:r>
              <w:rPr>
                <w:color w:val="282828"/>
                <w:sz w:val="17"/>
              </w:rPr>
              <w:t>Random Forest</w:t>
            </w:r>
          </w:p>
        </w:tc>
        <w:tc>
          <w:tcPr>
            <w:tcW w:type="dxa" w:w="1152"/>
            <w:shd w:fill="FFFFFF"/>
            <w:tcMar>
              <w:top w:w="60" w:type="dxa"/>
              <w:bottom w:w="60" w:type="dxa"/>
              <w:left w:w="110" w:type="dxa"/>
              <w:right w:w="110" w:type="dxa"/>
            </w:tcMar>
          </w:tcPr>
          <w:p>
            <w:pPr>
              <w:spacing w:before="0" w:after="0"/>
            </w:pPr>
            <w:r>
              <w:rPr>
                <w:color w:val="282828"/>
                <w:sz w:val="17"/>
              </w:rPr>
              <w:t>0.8057</w:t>
            </w:r>
          </w:p>
        </w:tc>
        <w:tc>
          <w:tcPr>
            <w:tcW w:type="dxa" w:w="1152"/>
            <w:shd w:fill="FFFFFF"/>
            <w:tcMar>
              <w:top w:w="60" w:type="dxa"/>
              <w:bottom w:w="60" w:type="dxa"/>
              <w:left w:w="110" w:type="dxa"/>
              <w:right w:w="110" w:type="dxa"/>
            </w:tcMar>
          </w:tcPr>
          <w:p>
            <w:pPr>
              <w:spacing w:before="0" w:after="0"/>
            </w:pPr>
            <w:r>
              <w:rPr>
                <w:color w:val="282828"/>
                <w:sz w:val="17"/>
              </w:rPr>
              <w:t>0.8082</w:t>
            </w:r>
          </w:p>
        </w:tc>
        <w:tc>
          <w:tcPr>
            <w:tcW w:type="dxa" w:w="1152"/>
            <w:shd w:fill="FFFFFF"/>
            <w:tcMar>
              <w:top w:w="60" w:type="dxa"/>
              <w:bottom w:w="60" w:type="dxa"/>
              <w:left w:w="110" w:type="dxa"/>
              <w:right w:w="110" w:type="dxa"/>
            </w:tcMar>
          </w:tcPr>
          <w:p>
            <w:pPr>
              <w:spacing w:before="0" w:after="0"/>
            </w:pPr>
            <w:r>
              <w:rPr>
                <w:color w:val="282828"/>
                <w:sz w:val="17"/>
              </w:rPr>
              <w:t>0.7826</w:t>
            </w:r>
          </w:p>
        </w:tc>
        <w:tc>
          <w:tcPr>
            <w:tcW w:type="dxa" w:w="1152"/>
            <w:shd w:fill="FFFFFF"/>
            <w:tcMar>
              <w:top w:w="60" w:type="dxa"/>
              <w:bottom w:w="60" w:type="dxa"/>
              <w:left w:w="110" w:type="dxa"/>
              <w:right w:w="110" w:type="dxa"/>
            </w:tcMar>
          </w:tcPr>
          <w:p>
            <w:pPr>
              <w:spacing w:before="0" w:after="0"/>
            </w:pPr>
            <w:r>
              <w:rPr>
                <w:color w:val="282828"/>
                <w:sz w:val="17"/>
              </w:rPr>
              <w:t>0.7933</w:t>
            </w:r>
          </w:p>
        </w:tc>
        <w:tc>
          <w:tcPr>
            <w:tcW w:type="dxa" w:w="1584"/>
            <w:shd w:fill="FFFFFF"/>
            <w:tcMar>
              <w:top w:w="60" w:type="dxa"/>
              <w:bottom w:w="60" w:type="dxa"/>
              <w:left w:w="110" w:type="dxa"/>
              <w:right w:w="110" w:type="dxa"/>
            </w:tcMar>
          </w:tcPr>
          <w:p>
            <w:pPr>
              <w:spacing w:before="0" w:after="0"/>
            </w:pPr>
            <w:r>
              <w:rPr>
                <w:color w:val="282828"/>
                <w:sz w:val="17"/>
              </w:rPr>
              <w:t>0.8914 ± 0.0316</w:t>
            </w:r>
          </w:p>
        </w:tc>
        <w:tc>
          <w:tcPr>
            <w:tcW w:type="dxa" w:w="864"/>
            <w:shd w:fill="FFFFFF"/>
            <w:tcMar>
              <w:top w:w="60" w:type="dxa"/>
              <w:bottom w:w="60" w:type="dxa"/>
              <w:left w:w="110" w:type="dxa"/>
              <w:right w:w="110" w:type="dxa"/>
            </w:tcMar>
          </w:tcPr>
          <w:p>
            <w:pPr>
              <w:spacing w:before="0" w:after="0"/>
            </w:pPr>
            <w:r>
              <w:rPr>
                <w:color w:val="282828"/>
                <w:sz w:val="17"/>
              </w:rPr>
              <w:t>86.89%</w:t>
            </w:r>
          </w:p>
        </w:tc>
        <w:tc>
          <w:tcPr>
            <w:tcW w:type="dxa" w:w="864"/>
            <w:shd w:fill="FFFFFF"/>
            <w:tcMar>
              <w:top w:w="60" w:type="dxa"/>
              <w:bottom w:w="60" w:type="dxa"/>
              <w:left w:w="110" w:type="dxa"/>
              <w:right w:w="110" w:type="dxa"/>
            </w:tcMar>
          </w:tcPr>
          <w:p>
            <w:pPr>
              <w:spacing w:before="0" w:after="0"/>
            </w:pPr>
            <w:r>
              <w:rPr>
                <w:color w:val="282828"/>
                <w:sz w:val="17"/>
              </w:rPr>
              <w:t>0.9416</w:t>
            </w:r>
          </w:p>
        </w:tc>
      </w:tr>
      <w:tr>
        <w:tc>
          <w:tcPr>
            <w:tcW w:type="dxa" w:w="1728"/>
            <w:shd w:fill="F7F9FB"/>
            <w:tcMar>
              <w:top w:w="60" w:type="dxa"/>
              <w:bottom w:w="60" w:type="dxa"/>
              <w:left w:w="110" w:type="dxa"/>
              <w:right w:w="110" w:type="dxa"/>
            </w:tcMar>
          </w:tcPr>
          <w:p>
            <w:pPr>
              <w:spacing w:before="0" w:after="0"/>
            </w:pPr>
            <w:r>
              <w:rPr>
                <w:color w:val="282828"/>
                <w:sz w:val="17"/>
              </w:rPr>
              <w:t>Gradient Boosting</w:t>
            </w:r>
          </w:p>
        </w:tc>
        <w:tc>
          <w:tcPr>
            <w:tcW w:type="dxa" w:w="1152"/>
            <w:shd w:fill="F7F9FB"/>
            <w:tcMar>
              <w:top w:w="60" w:type="dxa"/>
              <w:bottom w:w="60" w:type="dxa"/>
              <w:left w:w="110" w:type="dxa"/>
              <w:right w:w="110" w:type="dxa"/>
            </w:tcMar>
          </w:tcPr>
          <w:p>
            <w:pPr>
              <w:spacing w:before="0" w:after="0"/>
            </w:pPr>
            <w:r>
              <w:rPr>
                <w:color w:val="282828"/>
                <w:sz w:val="17"/>
              </w:rPr>
              <w:t>0.7808</w:t>
            </w:r>
          </w:p>
        </w:tc>
        <w:tc>
          <w:tcPr>
            <w:tcW w:type="dxa" w:w="1152"/>
            <w:shd w:fill="F7F9FB"/>
            <w:tcMar>
              <w:top w:w="60" w:type="dxa"/>
              <w:bottom w:w="60" w:type="dxa"/>
              <w:left w:w="110" w:type="dxa"/>
              <w:right w:w="110" w:type="dxa"/>
            </w:tcMar>
          </w:tcPr>
          <w:p>
            <w:pPr>
              <w:spacing w:before="0" w:after="0"/>
            </w:pPr>
            <w:r>
              <w:rPr>
                <w:color w:val="282828"/>
                <w:sz w:val="17"/>
              </w:rPr>
              <w:t>0.7818</w:t>
            </w:r>
          </w:p>
        </w:tc>
        <w:tc>
          <w:tcPr>
            <w:tcW w:type="dxa" w:w="1152"/>
            <w:shd w:fill="F7F9FB"/>
            <w:tcMar>
              <w:top w:w="60" w:type="dxa"/>
              <w:bottom w:w="60" w:type="dxa"/>
              <w:left w:w="110" w:type="dxa"/>
              <w:right w:w="110" w:type="dxa"/>
            </w:tcMar>
          </w:tcPr>
          <w:p>
            <w:pPr>
              <w:spacing w:before="0" w:after="0"/>
            </w:pPr>
            <w:r>
              <w:rPr>
                <w:color w:val="282828"/>
                <w:sz w:val="17"/>
              </w:rPr>
              <w:t>0.7565</w:t>
            </w:r>
          </w:p>
        </w:tc>
        <w:tc>
          <w:tcPr>
            <w:tcW w:type="dxa" w:w="1152"/>
            <w:shd w:fill="F7F9FB"/>
            <w:tcMar>
              <w:top w:w="60" w:type="dxa"/>
              <w:bottom w:w="60" w:type="dxa"/>
              <w:left w:w="110" w:type="dxa"/>
              <w:right w:w="110" w:type="dxa"/>
            </w:tcMar>
          </w:tcPr>
          <w:p>
            <w:pPr>
              <w:spacing w:before="0" w:after="0"/>
            </w:pPr>
            <w:r>
              <w:rPr>
                <w:color w:val="282828"/>
                <w:sz w:val="17"/>
              </w:rPr>
              <w:t>0.7651</w:t>
            </w:r>
          </w:p>
        </w:tc>
        <w:tc>
          <w:tcPr>
            <w:tcW w:type="dxa" w:w="1584"/>
            <w:shd w:fill="F7F9FB"/>
            <w:tcMar>
              <w:top w:w="60" w:type="dxa"/>
              <w:bottom w:w="60" w:type="dxa"/>
              <w:left w:w="110" w:type="dxa"/>
              <w:right w:w="110" w:type="dxa"/>
            </w:tcMar>
          </w:tcPr>
          <w:p>
            <w:pPr>
              <w:spacing w:before="0" w:after="0"/>
            </w:pPr>
            <w:r>
              <w:rPr>
                <w:color w:val="282828"/>
                <w:sz w:val="17"/>
              </w:rPr>
              <w:t>0.8744 ± 0.0249</w:t>
            </w:r>
          </w:p>
        </w:tc>
        <w:tc>
          <w:tcPr>
            <w:tcW w:type="dxa" w:w="864"/>
            <w:shd w:fill="F7F9FB"/>
            <w:tcMar>
              <w:top w:w="60" w:type="dxa"/>
              <w:bottom w:w="60" w:type="dxa"/>
              <w:left w:w="110" w:type="dxa"/>
              <w:right w:w="110" w:type="dxa"/>
            </w:tcMar>
          </w:tcPr>
          <w:p>
            <w:pPr>
              <w:spacing w:before="0" w:after="0"/>
            </w:pPr>
            <w:r>
              <w:rPr>
                <w:color w:val="282828"/>
                <w:sz w:val="17"/>
              </w:rPr>
              <w:t>86.89%</w:t>
            </w:r>
          </w:p>
        </w:tc>
        <w:tc>
          <w:tcPr>
            <w:tcW w:type="dxa" w:w="864"/>
            <w:shd w:fill="F7F9FB"/>
            <w:tcMar>
              <w:top w:w="60" w:type="dxa"/>
              <w:bottom w:w="60" w:type="dxa"/>
              <w:left w:w="110" w:type="dxa"/>
              <w:right w:w="110" w:type="dxa"/>
            </w:tcMar>
          </w:tcPr>
          <w:p>
            <w:pPr>
              <w:spacing w:before="0" w:after="0"/>
            </w:pPr>
            <w:r>
              <w:rPr>
                <w:color w:val="282828"/>
                <w:sz w:val="17"/>
              </w:rPr>
              <w:t>0.9610</w:t>
            </w:r>
          </w:p>
        </w:tc>
      </w:tr>
    </w:tbl>
    <w:tbl>
      <w:tblPr>
        <w:tblW w:type="auto" w:w="0"/>
        <w:jc w:val="center"/>
        <w:tblLook w:firstColumn="1" w:firstRow="1" w:lastColumn="0" w:lastRow="0" w:noHBand="0" w:noVBand="1" w:val="04A0"/>
      </w:tblPr>
      <w:tblGrid>
        <w:gridCol w:w="3250"/>
        <w:gridCol w:w="3250"/>
        <w:gridCol w:w="3250"/>
      </w:tblGrid>
      <w:tr>
        <w:tc>
          <w:tcPr>
            <w:tcW w:type="dxa" w:w="3024"/>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1920240" cy="1216152"/>
                  <wp:docPr id="6" name="Picture 6"/>
                  <wp:cNvGraphicFramePr>
                    <a:graphicFrameLocks noChangeAspect="1"/>
                  </wp:cNvGraphicFramePr>
                  <a:graphic>
                    <a:graphicData uri="http://schemas.openxmlformats.org/drawingml/2006/picture">
                      <pic:pic>
                        <pic:nvPicPr>
                          <pic:cNvPr id="0" name="model_comparison.png"/>
                          <pic:cNvPicPr/>
                        </pic:nvPicPr>
                        <pic:blipFill>
                          <a:blip r:embed="rId14"/>
                          <a:stretch>
                            <a:fillRect/>
                          </a:stretch>
                        </pic:blipFill>
                        <pic:spPr>
                          <a:xfrm>
                            <a:off x="0" y="0"/>
                            <a:ext cx="1920240" cy="1216152"/>
                          </a:xfrm>
                          <a:prstGeom prst="rect"/>
                        </pic:spPr>
                      </pic:pic>
                    </a:graphicData>
                  </a:graphic>
                </wp:inline>
              </w:drawing>
            </w:r>
          </w:p>
        </w:tc>
        <w:tc>
          <w:tcPr>
            <w:tcW w:type="dxa" w:w="3024"/>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1920240" cy="1706880"/>
                  <wp:docPr id="7" name="Picture 7"/>
                  <wp:cNvGraphicFramePr>
                    <a:graphicFrameLocks noChangeAspect="1"/>
                  </wp:cNvGraphicFramePr>
                  <a:graphic>
                    <a:graphicData uri="http://schemas.openxmlformats.org/drawingml/2006/picture">
                      <pic:pic>
                        <pic:nvPicPr>
                          <pic:cNvPr id="0" name="logistic_regression_confusion_matrix.png"/>
                          <pic:cNvPicPr/>
                        </pic:nvPicPr>
                        <pic:blipFill>
                          <a:blip r:embed="rId15"/>
                          <a:stretch>
                            <a:fillRect/>
                          </a:stretch>
                        </pic:blipFill>
                        <pic:spPr>
                          <a:xfrm>
                            <a:off x="0" y="0"/>
                            <a:ext cx="1920240" cy="1706880"/>
                          </a:xfrm>
                          <a:prstGeom prst="rect"/>
                        </pic:spPr>
                      </pic:pic>
                    </a:graphicData>
                  </a:graphic>
                </wp:inline>
              </w:drawing>
            </w:r>
          </w:p>
        </w:tc>
        <w:tc>
          <w:tcPr>
            <w:tcW w:type="dxa" w:w="3024"/>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1920240" cy="1706880"/>
                  <wp:docPr id="8" name="Picture 8"/>
                  <wp:cNvGraphicFramePr>
                    <a:graphicFrameLocks noChangeAspect="1"/>
                  </wp:cNvGraphicFramePr>
                  <a:graphic>
                    <a:graphicData uri="http://schemas.openxmlformats.org/drawingml/2006/picture">
                      <pic:pic>
                        <pic:nvPicPr>
                          <pic:cNvPr id="0" name="logistic_regression_roc.png"/>
                          <pic:cNvPicPr/>
                        </pic:nvPicPr>
                        <pic:blipFill>
                          <a:blip r:embed="rId16"/>
                          <a:stretch>
                            <a:fillRect/>
                          </a:stretch>
                        </pic:blipFill>
                        <pic:spPr>
                          <a:xfrm>
                            <a:off x="0" y="0"/>
                            <a:ext cx="1920240" cy="1706880"/>
                          </a:xfrm>
                          <a:prstGeom prst="rect"/>
                        </pic:spPr>
                      </pic:pic>
                    </a:graphicData>
                  </a:graphic>
                </wp:inline>
              </w:drawing>
            </w:r>
          </w:p>
        </w:tc>
      </w:tr>
    </w:tbl>
    <w:p>
      <w:pPr>
        <w:spacing w:before="20" w:after="100"/>
        <w:jc w:val="center"/>
      </w:pPr>
      <w:r>
        <w:rPr>
          <w:i/>
          <w:color w:val="505050"/>
          <w:sz w:val="16"/>
        </w:rPr>
        <w:t>Figure 3: (Left) Nested CV ROC-AUC comparison across candidate models; (Center) Champion test Confusion Matrix on 61 patients (26 TP, 28 TN, 5 FP, 2 FN); (Right) Champion test ROC Curve (AUC = 0.9665).</w:t>
      </w:r>
    </w:p>
    <w:p>
      <w:pPr>
        <w:spacing w:before="0" w:after="60" w:line="269" w:lineRule="auto"/>
      </w:pPr>
      <w:r>
        <w:rPr>
          <w:color w:val="232323"/>
          <w:sz w:val="19"/>
        </w:rPr>
        <w:t>Performance Discussion: L2-regularized Logistic Regression achieved the highest outer-fold mean ROC-AUC (0.9018 ± 0.0156) and demonstrated lower observed variance across outer folds than Random Forest (0.8914 ± 0.0316) and Gradient Boosting (0.8744 ± 0.0249). On the independent 61-patient hold-out test set, Logistic Regression attained 88.52% Accuracy, 92.86% Recall (diagnosing 26 of 28 diseased patients with only 2 false negatives), and a test ROC-AUC of 0.9665. Consequently, Logistic Regression was promoted to production.</w:t>
      </w:r>
    </w:p>
    <w:p>
      <w:pPr>
        <w:pStyle w:val="Heading2"/>
        <w:keepNext/>
        <w:spacing w:before="160" w:after="40"/>
      </w:pPr>
      <w:r>
        <w:rPr>
          <w:b/>
          <w:color w:val="294A6E"/>
          <w:sz w:val="22"/>
        </w:rPr>
        <w:t>4.4 Key Engineering Decisions and Practical Challenges</w:t>
      </w:r>
    </w:p>
    <w:p>
      <w:pPr>
        <w:pStyle w:val="ListBullet"/>
        <w:spacing w:before="0" w:after="40" w:line="269" w:lineRule="auto"/>
      </w:pPr>
      <w:r>
        <w:rPr>
          <w:b/>
          <w:color w:val="1B365D"/>
        </w:rPr>
        <w:t xml:space="preserve">Preserving Missing Values During Ingestion: </w:t>
      </w:r>
      <w:r>
        <w:rPr>
          <w:color w:val="232323"/>
          <w:sz w:val="19"/>
        </w:rPr>
        <w:t>The cleaned dataset deliberately preserves NaN markers rather than imputing them globally. Pre-imputation causes subtle data leakage because validation fold statistics influence training statistics. Imputing strictly within pipeline folds ensures clean separation.</w:t>
      </w:r>
    </w:p>
    <w:p>
      <w:pPr>
        <w:pStyle w:val="ListBullet"/>
        <w:spacing w:before="0" w:after="40" w:line="269" w:lineRule="auto"/>
      </w:pPr>
      <w:r>
        <w:rPr>
          <w:b/>
          <w:color w:val="1B365D"/>
        </w:rPr>
        <w:t xml:space="preserve">Multiprocessing Resource Contention on Windows: </w:t>
      </w:r>
      <w:r>
        <w:rPr>
          <w:color w:val="232323"/>
          <w:sz w:val="19"/>
        </w:rPr>
        <w:t>Setting n_jobs=-1 inside joblib GridSearchCV spawned excessive worker processes on Windows host environments, exhausting memory commit limits. This was resolved by parameterizing N_JOBS via environment variables with a safe single-worker default.</w:t>
      </w:r>
    </w:p>
    <w:p>
      <w:pPr>
        <w:pStyle w:val="ListBullet"/>
        <w:spacing w:before="0" w:after="40" w:line="269" w:lineRule="auto"/>
      </w:pPr>
      <w:r>
        <w:rPr>
          <w:b/>
          <w:color w:val="1B365D"/>
        </w:rPr>
        <w:t xml:space="preserve">Fail-Fast Static Analysis: </w:t>
      </w:r>
      <w:r>
        <w:rPr>
          <w:color w:val="232323"/>
          <w:sz w:val="19"/>
        </w:rPr>
        <w:t>Enforcing flake8 lint gates in CI initially caught formatting issues in helper scripts. Specific helper excludes were codified in setup.cfg to maintain strict standards across production src/ and tests/ modules while allowing specialized scripts.</w:t>
      </w:r>
    </w:p>
    <w:p>
      <w:pPr>
        <w:pStyle w:val="Heading1"/>
        <w:keepNext/>
        <w:spacing w:before="220" w:after="60"/>
      </w:pPr>
      <w:r>
        <w:rPr>
          <w:b/>
          <w:color w:val="1B365D"/>
          <w:sz w:val="26"/>
        </w:rPr>
        <w:t>5. Experiment Tracking with MLflow</w:t>
      </w:r>
    </w:p>
    <w:p>
      <w:pPr>
        <w:spacing w:before="0" w:after="60" w:line="269" w:lineRule="auto"/>
      </w:pPr>
      <w:r>
        <w:rPr>
          <w:color w:val="232323"/>
          <w:sz w:val="19"/>
        </w:rPr>
        <w:t>All training runs, hyperparameters, cross-validation metrics, and serialized artifacts are tracked via MLflow (Zaharia et al., 2018) under experiment 'heart-disease-risk'. A final promotion run ('final_model_selection') tags the champion model and serializes production artifacts.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874"/>
        <w:gridCol w:w="4874"/>
      </w:tblGrid>
      <w:tr>
        <w:tc>
          <w:tcPr>
            <w:tcW w:type="dxa" w:w="2592"/>
            <w:shd w:fill="1B365D"/>
            <w:tcMar>
              <w:top w:w="90" w:type="dxa"/>
              <w:bottom w:w="90" w:type="dxa"/>
              <w:left w:w="110" w:type="dxa"/>
              <w:right w:w="110" w:type="dxa"/>
            </w:tcMar>
          </w:tcPr>
          <w:p>
            <w:pPr>
              <w:spacing w:before="0" w:after="0"/>
            </w:pPr>
            <w:r>
              <w:rPr>
                <w:b/>
                <w:color w:val="FFFFFF"/>
                <w:sz w:val="17"/>
              </w:rPr>
              <w:t>Artifact Category</w:t>
            </w:r>
          </w:p>
        </w:tc>
        <w:tc>
          <w:tcPr>
            <w:tcW w:type="dxa" w:w="7056"/>
            <w:shd w:fill="1B365D"/>
            <w:tcMar>
              <w:top w:w="90" w:type="dxa"/>
              <w:bottom w:w="90" w:type="dxa"/>
              <w:left w:w="110" w:type="dxa"/>
              <w:right w:w="110" w:type="dxa"/>
            </w:tcMar>
          </w:tcPr>
          <w:p>
            <w:pPr>
              <w:spacing w:before="0" w:after="0"/>
            </w:pPr>
            <w:r>
              <w:rPr>
                <w:b/>
                <w:color w:val="FFFFFF"/>
                <w:sz w:val="17"/>
              </w:rPr>
              <w:t>Logged Metadata and Payloads</w:t>
            </w:r>
          </w:p>
        </w:tc>
      </w:tr>
      <w:tr>
        <w:tc>
          <w:tcPr>
            <w:tcW w:type="dxa" w:w="2592"/>
            <w:shd w:fill="F7F9FB"/>
            <w:tcMar>
              <w:top w:w="60" w:type="dxa"/>
              <w:bottom w:w="60" w:type="dxa"/>
              <w:left w:w="110" w:type="dxa"/>
              <w:right w:w="110" w:type="dxa"/>
            </w:tcMar>
          </w:tcPr>
          <w:p>
            <w:pPr>
              <w:spacing w:before="0" w:after="0"/>
            </w:pPr>
            <w:r>
              <w:rPr>
                <w:color w:val="282828"/>
                <w:sz w:val="17"/>
              </w:rPr>
              <w:t>Parameters</w:t>
            </w:r>
          </w:p>
        </w:tc>
        <w:tc>
          <w:tcPr>
            <w:tcW w:type="dxa" w:w="7056"/>
            <w:shd w:fill="F7F9FB"/>
            <w:tcMar>
              <w:top w:w="60" w:type="dxa"/>
              <w:bottom w:w="60" w:type="dxa"/>
              <w:left w:w="110" w:type="dxa"/>
              <w:right w:w="110" w:type="dxa"/>
            </w:tcMar>
          </w:tcPr>
          <w:p>
            <w:pPr>
              <w:spacing w:before="0" w:after="0"/>
            </w:pPr>
            <w:r>
              <w:rPr>
                <w:color w:val="282828"/>
                <w:sz w:val="17"/>
              </w:rPr>
              <w:t>Model family, random seed (42), test size (0.2), outer folds (5), inner folds (3), train rows (242), test rows (61), best_C, best_penalty.</w:t>
            </w:r>
          </w:p>
        </w:tc>
      </w:tr>
      <w:tr>
        <w:tc>
          <w:tcPr>
            <w:tcW w:type="dxa" w:w="2592"/>
            <w:shd w:fill="FFFFFF"/>
            <w:tcMar>
              <w:top w:w="60" w:type="dxa"/>
              <w:bottom w:w="60" w:type="dxa"/>
              <w:left w:w="110" w:type="dxa"/>
              <w:right w:w="110" w:type="dxa"/>
            </w:tcMar>
          </w:tcPr>
          <w:p>
            <w:pPr>
              <w:spacing w:before="0" w:after="0"/>
            </w:pPr>
            <w:r>
              <w:rPr>
                <w:color w:val="282828"/>
                <w:sz w:val="17"/>
              </w:rPr>
              <w:t>CV Metrics</w:t>
            </w:r>
          </w:p>
        </w:tc>
        <w:tc>
          <w:tcPr>
            <w:tcW w:type="dxa" w:w="7056"/>
            <w:shd w:fill="FFFFFF"/>
            <w:tcMar>
              <w:top w:w="60" w:type="dxa"/>
              <w:bottom w:w="60" w:type="dxa"/>
              <w:left w:w="110" w:type="dxa"/>
              <w:right w:w="110" w:type="dxa"/>
            </w:tcMar>
          </w:tcPr>
          <w:p>
            <w:pPr>
              <w:spacing w:before="0" w:after="0"/>
            </w:pPr>
            <w:r>
              <w:rPr>
                <w:color w:val="282828"/>
                <w:sz w:val="17"/>
              </w:rPr>
              <w:t>Mean and std across 5 outer folds: cv_accuracy, cv_precision, cv_recall, cv_f1, cv_roc_auc, tuning_best_cv_roc_auc.</w:t>
            </w:r>
          </w:p>
        </w:tc>
      </w:tr>
      <w:tr>
        <w:tc>
          <w:tcPr>
            <w:tcW w:type="dxa" w:w="2592"/>
            <w:shd w:fill="F7F9FB"/>
            <w:tcMar>
              <w:top w:w="60" w:type="dxa"/>
              <w:bottom w:w="60" w:type="dxa"/>
              <w:left w:w="110" w:type="dxa"/>
              <w:right w:w="110" w:type="dxa"/>
            </w:tcMar>
          </w:tcPr>
          <w:p>
            <w:pPr>
              <w:spacing w:before="0" w:after="0"/>
            </w:pPr>
            <w:r>
              <w:rPr>
                <w:color w:val="282828"/>
                <w:sz w:val="17"/>
              </w:rPr>
              <w:t>Hold-Out Test Metrics</w:t>
            </w:r>
          </w:p>
        </w:tc>
        <w:tc>
          <w:tcPr>
            <w:tcW w:type="dxa" w:w="7056"/>
            <w:shd w:fill="F7F9FB"/>
            <w:tcMar>
              <w:top w:w="60" w:type="dxa"/>
              <w:bottom w:w="60" w:type="dxa"/>
              <w:left w:w="110" w:type="dxa"/>
              <w:right w:w="110" w:type="dxa"/>
            </w:tcMar>
          </w:tcPr>
          <w:p>
            <w:pPr>
              <w:spacing w:before="0" w:after="0"/>
            </w:pPr>
            <w:r>
              <w:rPr>
                <w:color w:val="282828"/>
                <w:sz w:val="17"/>
              </w:rPr>
              <w:t>Unbiased validation scores on 61 test patients: test_accuracy, test_precision, test_recall, test_f1, test_roc_auc.</w:t>
            </w:r>
          </w:p>
        </w:tc>
      </w:tr>
      <w:tr>
        <w:tc>
          <w:tcPr>
            <w:tcW w:type="dxa" w:w="2592"/>
            <w:shd w:fill="FFFFFF"/>
            <w:tcMar>
              <w:top w:w="60" w:type="dxa"/>
              <w:bottom w:w="60" w:type="dxa"/>
              <w:left w:w="110" w:type="dxa"/>
              <w:right w:w="110" w:type="dxa"/>
            </w:tcMar>
          </w:tcPr>
          <w:p>
            <w:pPr>
              <w:spacing w:before="0" w:after="0"/>
            </w:pPr>
            <w:r>
              <w:rPr>
                <w:color w:val="282828"/>
                <w:sz w:val="17"/>
              </w:rPr>
              <w:t>Logged Artifacts</w:t>
            </w:r>
          </w:p>
        </w:tc>
        <w:tc>
          <w:tcPr>
            <w:tcW w:type="dxa" w:w="7056"/>
            <w:shd w:fill="FFFFFF"/>
            <w:tcMar>
              <w:top w:w="60" w:type="dxa"/>
              <w:bottom w:w="60" w:type="dxa"/>
              <w:left w:w="110" w:type="dxa"/>
              <w:right w:w="110" w:type="dxa"/>
            </w:tcMar>
          </w:tcPr>
          <w:p>
            <w:pPr>
              <w:spacing w:before="0" w:after="0"/>
            </w:pPr>
            <w:r>
              <w:rPr>
                <w:color w:val="282828"/>
                <w:sz w:val="17"/>
              </w:rPr>
              <w:t>Confusion matrix and ROC plots, serialized Pipeline model, Conda environment descriptor, and MLmodel signature.</w:t>
            </w:r>
          </w:p>
        </w:tc>
      </w:tr>
    </w:tbl>
    <w:tbl>
      <w:tblPr>
        <w:tblW w:type="auto" w:w="0"/>
        <w:jc w:val="center"/>
        <w:tblLook w:firstColumn="1" w:firstRow="1" w:lastColumn="0" w:lastRow="0" w:noHBand="0" w:noVBand="1" w:val="04A0"/>
      </w:tblPr>
      <w:tblGrid>
        <w:gridCol w:w="4874"/>
        <w:gridCol w:w="4874"/>
      </w:tblGrid>
      <w:tr>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314450"/>
                  <wp:docPr id="9" name="Picture 9"/>
                  <wp:cNvGraphicFramePr>
                    <a:graphicFrameLocks noChangeAspect="1"/>
                  </wp:cNvGraphicFramePr>
                  <a:graphic>
                    <a:graphicData uri="http://schemas.openxmlformats.org/drawingml/2006/picture">
                      <pic:pic>
                        <pic:nvPicPr>
                          <pic:cNvPr id="0" name="03_mlflow_runs.png"/>
                          <pic:cNvPicPr/>
                        </pic:nvPicPr>
                        <pic:blipFill>
                          <a:blip r:embed="rId17"/>
                          <a:stretch>
                            <a:fillRect/>
                          </a:stretch>
                        </pic:blipFill>
                        <pic:spPr>
                          <a:xfrm>
                            <a:off x="0" y="0"/>
                            <a:ext cx="2926080" cy="1314450"/>
                          </a:xfrm>
                          <a:prstGeom prst="rect"/>
                        </pic:spPr>
                      </pic:pic>
                    </a:graphicData>
                  </a:graphic>
                </wp:inline>
              </w:drawing>
            </w:r>
          </w:p>
        </w:tc>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323022"/>
                  <wp:docPr id="10" name="Picture 10"/>
                  <wp:cNvGraphicFramePr>
                    <a:graphicFrameLocks noChangeAspect="1"/>
                  </wp:cNvGraphicFramePr>
                  <a:graphic>
                    <a:graphicData uri="http://schemas.openxmlformats.org/drawingml/2006/picture">
                      <pic:pic>
                        <pic:nvPicPr>
                          <pic:cNvPr id="0" name="04_mlflow_run_detail.png"/>
                          <pic:cNvPicPr/>
                        </pic:nvPicPr>
                        <pic:blipFill>
                          <a:blip r:embed="rId18"/>
                          <a:stretch>
                            <a:fillRect/>
                          </a:stretch>
                        </pic:blipFill>
                        <pic:spPr>
                          <a:xfrm>
                            <a:off x="0" y="0"/>
                            <a:ext cx="2926080" cy="1323022"/>
                          </a:xfrm>
                          <a:prstGeom prst="rect"/>
                        </pic:spPr>
                      </pic:pic>
                    </a:graphicData>
                  </a:graphic>
                </wp:inline>
              </w:drawing>
            </w:r>
          </w:p>
        </w:tc>
      </w:tr>
    </w:tbl>
    <w:p>
      <w:pPr>
        <w:spacing w:before="20" w:after="100"/>
        <w:jc w:val="center"/>
      </w:pPr>
      <w:r>
        <w:rPr>
          <w:i/>
          <w:color w:val="505050"/>
          <w:sz w:val="16"/>
        </w:rPr>
        <w:t>Figure 4: MLflow Tracking Server — (Left) Candidate runs overview under experiment 'heart-disease-risk'; (Right) Champion Logistic Regression logged parameters (10) and cross-validation/test metrics (16).</w:t>
      </w:r>
    </w:p>
    <w:p>
      <w:pPr>
        <w:pStyle w:val="Heading1"/>
        <w:keepNext/>
        <w:spacing w:before="220" w:after="60"/>
      </w:pPr>
      <w:r>
        <w:rPr>
          <w:b/>
          <w:color w:val="1B365D"/>
          <w:sz w:val="26"/>
        </w:rPr>
        <w:t>6. Model Packaging and Reproducibility</w:t>
      </w:r>
    </w:p>
    <w:p>
      <w:pPr>
        <w:spacing w:before="0" w:after="60" w:line="269" w:lineRule="auto"/>
      </w:pPr>
      <w:r>
        <w:rPr>
          <w:color w:val="232323"/>
          <w:sz w:val="19"/>
        </w:rPr>
        <w:t>To eliminate train-serving skew, the deployable unit produced by src/heart/train.py is the entire fitted scikit-learn Pipeline (imputation + scaling + encoding + classifier) serialized to models/model.joblib. The companion metadata file (models/metadata.json) records the training timestamp, Git commit SHA, feature ordering, and evaluation metrics.</w:t>
      </w:r>
    </w:p>
    <w:p>
      <w:pPr>
        <w:pStyle w:val="ListBullet"/>
        <w:spacing w:before="0" w:after="40" w:line="269" w:lineRule="auto"/>
      </w:pPr>
      <w:r>
        <w:rPr>
          <w:b/>
          <w:color w:val="1B365D"/>
        </w:rPr>
        <w:t xml:space="preserve">Fixed Pseudorandom Seeds: </w:t>
      </w:r>
      <w:r>
        <w:rPr>
          <w:color w:val="232323"/>
          <w:sz w:val="19"/>
        </w:rPr>
        <w:t>Random seed (RANDOM_STATE = 42) is enforced across splits, folds, and estimators, validated by unit test test_training_is_reproducible.</w:t>
      </w:r>
    </w:p>
    <w:p>
      <w:pPr>
        <w:pStyle w:val="ListBullet"/>
        <w:spacing w:before="0" w:after="40" w:line="269" w:lineRule="auto"/>
      </w:pPr>
      <w:r>
        <w:rPr>
          <w:b/>
          <w:color w:val="1B365D"/>
        </w:rPr>
        <w:t xml:space="preserve">Strict Dependency Pinning: </w:t>
      </w:r>
      <w:r>
        <w:rPr>
          <w:color w:val="232323"/>
          <w:sz w:val="19"/>
        </w:rPr>
        <w:t>All library versions are pinned in requirements-serve.txt and requirements.txt.</w:t>
      </w:r>
    </w:p>
    <w:p>
      <w:pPr>
        <w:pStyle w:val="ListBullet"/>
        <w:spacing w:before="0" w:after="40" w:line="269" w:lineRule="auto"/>
      </w:pPr>
      <w:r>
        <w:rPr>
          <w:b/>
          <w:color w:val="1B365D"/>
        </w:rPr>
        <w:t xml:space="preserve">Artifact Immutability: </w:t>
      </w:r>
      <w:r>
        <w:rPr>
          <w:color w:val="232323"/>
          <w:sz w:val="19"/>
        </w:rPr>
        <w:t>Production containers copy the serialized model directly during build; serving requires no retraining.</w:t>
      </w:r>
    </w:p>
    <w:p>
      <w:pPr>
        <w:pStyle w:val="Heading1"/>
        <w:keepNext/>
        <w:spacing w:before="220" w:after="60"/>
      </w:pPr>
      <w:r>
        <w:rPr>
          <w:b/>
          <w:color w:val="1B365D"/>
          <w:sz w:val="26"/>
        </w:rPr>
        <w:t>7. Automated Testing and CI/CD Pipeline</w:t>
      </w:r>
    </w:p>
    <w:p>
      <w:pPr>
        <w:pStyle w:val="Heading2"/>
        <w:keepNext/>
        <w:spacing w:before="160" w:after="40"/>
      </w:pPr>
      <w:r>
        <w:rPr>
          <w:b/>
          <w:color w:val="294A6E"/>
          <w:sz w:val="22"/>
        </w:rPr>
        <w:t>7.1 Unit Testing Framework (pytest)</w:t>
      </w:r>
    </w:p>
    <w:p>
      <w:pPr>
        <w:spacing w:before="0" w:after="60" w:line="269" w:lineRule="auto"/>
      </w:pPr>
      <w:r>
        <w:rPr>
          <w:color w:val="232323"/>
          <w:sz w:val="19"/>
        </w:rPr>
        <w:t>The test suite comprises 21 automated pytest unit tests across four modules: (1) test_data.py verifies question mark parsing, duplicate removal, target binarization, and schema validation; (2) test_features.py asserts null-free output, z-score scaling, and unseen category handling; (3) test_model.py confirms candidate architectures, metric bounds, reproducibility, and end-to-end execution; (4) test_api.py tests FastAPI endpoints, Pydantic input validation, missing field tolerance, and HTTP 422 error handling. An offline synthetic fixture (tests/synthetic.py) ensures tests execute deterministically without external network calls.</w:t>
      </w:r>
    </w:p>
    <w:p>
      <w:pPr>
        <w:pStyle w:val="Heading2"/>
        <w:keepNext/>
        <w:spacing w:before="160" w:after="40"/>
      </w:pPr>
      <w:r>
        <w:rPr>
          <w:b/>
          <w:color w:val="294A6E"/>
          <w:sz w:val="22"/>
        </w:rPr>
        <w:t>7.2 Multi-Stage GitHub Actions CI/CD Pipeline</w:t>
      </w:r>
    </w:p>
    <w:p>
      <w:pPr>
        <w:spacing w:before="0" w:after="60" w:line="269" w:lineRule="auto"/>
      </w:pPr>
      <w:r>
        <w:rPr>
          <w:color w:val="232323"/>
          <w:sz w:val="19"/>
        </w:rPr>
        <w:t>Continuous Integration and Continuous Deployment is automated via GitHub Actions (.github/workflows/ci.yml). The pipeline enforces four sequential dependency-gated jobs:</w:t>
      </w:r>
    </w:p>
    <w:p>
      <w:pPr>
        <w:pStyle w:val="ListBullet"/>
        <w:spacing w:before="0" w:after="40" w:line="269" w:lineRule="auto"/>
      </w:pPr>
      <w:r>
        <w:rPr>
          <w:b/>
          <w:color w:val="1B365D"/>
        </w:rPr>
        <w:t xml:space="preserve">Job 1 (lint): </w:t>
      </w:r>
      <w:r>
        <w:rPr>
          <w:color w:val="232323"/>
          <w:sz w:val="19"/>
        </w:rPr>
        <w:t>Enforces PEP 8 compliance via flake8 src tests scripts. Any violation halts the pipeline.</w:t>
      </w:r>
    </w:p>
    <w:p>
      <w:pPr>
        <w:pStyle w:val="ListBullet"/>
        <w:spacing w:before="0" w:after="40" w:line="269" w:lineRule="auto"/>
      </w:pPr>
      <w:r>
        <w:rPr>
          <w:b/>
          <w:color w:val="1B365D"/>
        </w:rPr>
        <w:t xml:space="preserve">Job 2 (test): </w:t>
      </w:r>
      <w:r>
        <w:rPr>
          <w:color w:val="232323"/>
          <w:sz w:val="19"/>
        </w:rPr>
        <w:t>Installs dependencies, runs 21 pytest tests with coverage, and uploads test reports.</w:t>
      </w:r>
    </w:p>
    <w:p>
      <w:pPr>
        <w:pStyle w:val="ListBullet"/>
        <w:spacing w:before="0" w:after="40" w:line="269" w:lineRule="auto"/>
      </w:pPr>
      <w:r>
        <w:rPr>
          <w:b/>
          <w:color w:val="1B365D"/>
        </w:rPr>
        <w:t xml:space="preserve">Job 3 (train): </w:t>
      </w:r>
      <w:r>
        <w:rPr>
          <w:color w:val="232323"/>
          <w:sz w:val="19"/>
        </w:rPr>
        <w:t>Executes data ingestion, EDA, nested CV model training, MLflow tracking, and model packaging.</w:t>
      </w:r>
    </w:p>
    <w:p>
      <w:pPr>
        <w:pStyle w:val="ListBullet"/>
        <w:spacing w:before="0" w:after="40" w:line="269" w:lineRule="auto"/>
      </w:pPr>
      <w:r>
        <w:rPr>
          <w:b/>
          <w:color w:val="1B365D"/>
        </w:rPr>
        <w:t xml:space="preserve">Job 4 (docker): </w:t>
      </w:r>
      <w:r>
        <w:rPr>
          <w:color w:val="232323"/>
          <w:sz w:val="19"/>
        </w:rPr>
        <w:t>Builds the serving container, boots it locally, and executes HTTP smoke tests against /health and /predict.</w:t>
      </w:r>
    </w:p>
    <w:tbl>
      <w:tblPr>
        <w:tblW w:type="auto" w:w="0"/>
        <w:jc w:val="center"/>
        <w:tblLook w:firstColumn="1" w:firstRow="1" w:lastColumn="0" w:lastRow="0" w:noHBand="0" w:noVBand="1" w:val="04A0"/>
      </w:tblPr>
      <w:tblGrid>
        <w:gridCol w:w="4874"/>
        <w:gridCol w:w="4874"/>
      </w:tblGrid>
      <w:tr>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936090"/>
                  <wp:docPr id="11" name="Picture 11"/>
                  <wp:cNvGraphicFramePr>
                    <a:graphicFrameLocks noChangeAspect="1"/>
                  </wp:cNvGraphicFramePr>
                  <a:graphic>
                    <a:graphicData uri="http://schemas.openxmlformats.org/drawingml/2006/picture">
                      <pic:pic>
                        <pic:nvPicPr>
                          <pic:cNvPr id="0" name="05_pytest_pass.png"/>
                          <pic:cNvPicPr/>
                        </pic:nvPicPr>
                        <pic:blipFill>
                          <a:blip r:embed="rId19"/>
                          <a:stretch>
                            <a:fillRect/>
                          </a:stretch>
                        </pic:blipFill>
                        <pic:spPr>
                          <a:xfrm>
                            <a:off x="0" y="0"/>
                            <a:ext cx="2926080" cy="1936090"/>
                          </a:xfrm>
                          <a:prstGeom prst="rect"/>
                        </pic:spPr>
                      </pic:pic>
                    </a:graphicData>
                  </a:graphic>
                </wp:inline>
              </w:drawing>
            </w:r>
          </w:p>
        </w:tc>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185862"/>
                  <wp:docPr id="12" name="Picture 12"/>
                  <wp:cNvGraphicFramePr>
                    <a:graphicFrameLocks noChangeAspect="1"/>
                  </wp:cNvGraphicFramePr>
                  <a:graphic>
                    <a:graphicData uri="http://schemas.openxmlformats.org/drawingml/2006/picture">
                      <pic:pic>
                        <pic:nvPicPr>
                          <pic:cNvPr id="0" name="06_actions_run.png"/>
                          <pic:cNvPicPr/>
                        </pic:nvPicPr>
                        <pic:blipFill>
                          <a:blip r:embed="rId20"/>
                          <a:stretch>
                            <a:fillRect/>
                          </a:stretch>
                        </pic:blipFill>
                        <pic:spPr>
                          <a:xfrm>
                            <a:off x="0" y="0"/>
                            <a:ext cx="2926080" cy="1185862"/>
                          </a:xfrm>
                          <a:prstGeom prst="rect"/>
                        </pic:spPr>
                      </pic:pic>
                    </a:graphicData>
                  </a:graphic>
                </wp:inline>
              </w:drawing>
            </w:r>
          </w:p>
        </w:tc>
      </w:tr>
      <w:tr>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323022"/>
                  <wp:docPr id="13" name="Picture 13"/>
                  <wp:cNvGraphicFramePr>
                    <a:graphicFrameLocks noChangeAspect="1"/>
                  </wp:cNvGraphicFramePr>
                  <a:graphic>
                    <a:graphicData uri="http://schemas.openxmlformats.org/drawingml/2006/picture">
                      <pic:pic>
                        <pic:nvPicPr>
                          <pic:cNvPr id="0" name="07_actions_artifacts.png"/>
                          <pic:cNvPicPr/>
                        </pic:nvPicPr>
                        <pic:blipFill>
                          <a:blip r:embed="rId21"/>
                          <a:stretch>
                            <a:fillRect/>
                          </a:stretch>
                        </pic:blipFill>
                        <pic:spPr>
                          <a:xfrm>
                            <a:off x="0" y="0"/>
                            <a:ext cx="2926080" cy="1323022"/>
                          </a:xfrm>
                          <a:prstGeom prst="rect"/>
                        </pic:spPr>
                      </pic:pic>
                    </a:graphicData>
                  </a:graphic>
                </wp:inline>
              </w:drawing>
            </w:r>
          </w:p>
        </w:tc>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280160"/>
                  <wp:docPr id="14" name="Picture 14"/>
                  <wp:cNvGraphicFramePr>
                    <a:graphicFrameLocks noChangeAspect="1"/>
                  </wp:cNvGraphicFramePr>
                  <a:graphic>
                    <a:graphicData uri="http://schemas.openxmlformats.org/drawingml/2006/picture">
                      <pic:pic>
                        <pic:nvPicPr>
                          <pic:cNvPr id="0" name="08_actions_failure.png"/>
                          <pic:cNvPicPr/>
                        </pic:nvPicPr>
                        <pic:blipFill>
                          <a:blip r:embed="rId22"/>
                          <a:stretch>
                            <a:fillRect/>
                          </a:stretch>
                        </pic:blipFill>
                        <pic:spPr>
                          <a:xfrm>
                            <a:off x="0" y="0"/>
                            <a:ext cx="2926080" cy="1280160"/>
                          </a:xfrm>
                          <a:prstGeom prst="rect"/>
                        </pic:spPr>
                      </pic:pic>
                    </a:graphicData>
                  </a:graphic>
                </wp:inline>
              </w:drawing>
            </w:r>
          </w:p>
        </w:tc>
      </w:tr>
    </w:tbl>
    <w:p>
      <w:pPr>
        <w:spacing w:before="20" w:after="100"/>
        <w:jc w:val="center"/>
      </w:pPr>
      <w:r>
        <w:rPr>
          <w:i/>
          <w:color w:val="505050"/>
          <w:sz w:val="16"/>
        </w:rPr>
        <w:t>Figure 5: Verification &amp; CI/CD — (Top-Left) Terminal output showing all 21 pytest unit tests passing in 40.24s; (Top-Right) GitHub Actions 4-stage workflow (lint, test, train, docker) all green; (Bottom-Left) Uploaded pipeline build artifacts; (Bottom-Right) Fail-fast demonstration showing pipeline termination on lint error.</w:t>
      </w:r>
    </w:p>
    <w:p>
      <w:pPr>
        <w:pStyle w:val="Heading1"/>
        <w:keepNext/>
        <w:spacing w:before="220" w:after="60"/>
      </w:pPr>
      <w:r>
        <w:rPr>
          <w:b/>
          <w:color w:val="1B365D"/>
          <w:sz w:val="26"/>
        </w:rPr>
        <w:t>8. Model Containerization</w:t>
      </w:r>
    </w:p>
    <w:p>
      <w:pPr>
        <w:spacing w:before="0" w:after="60" w:line="269" w:lineRule="auto"/>
      </w:pPr>
      <w:r>
        <w:rPr>
          <w:color w:val="232323"/>
          <w:sz w:val="19"/>
        </w:rPr>
        <w:t>The serving application is packaged into a production Docker container (Dockerfile) utilizing python:3.11-slim. Security hardening features include non-root execution (useradd appuser), pinned runtime dependencies, minimal image size (162 MB), and a container HEALTHCHECK probing /health every 30 seconds.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50"/>
        <w:gridCol w:w="3250"/>
        <w:gridCol w:w="3250"/>
      </w:tblGrid>
      <w:tr>
        <w:tc>
          <w:tcPr>
            <w:tcW w:type="dxa" w:w="2160"/>
            <w:shd w:fill="1B365D"/>
            <w:tcMar>
              <w:top w:w="90" w:type="dxa"/>
              <w:bottom w:w="90" w:type="dxa"/>
              <w:left w:w="110" w:type="dxa"/>
              <w:right w:w="110" w:type="dxa"/>
            </w:tcMar>
          </w:tcPr>
          <w:p>
            <w:pPr>
              <w:spacing w:before="0" w:after="0"/>
            </w:pPr>
            <w:r>
              <w:rPr>
                <w:b/>
                <w:color w:val="FFFFFF"/>
                <w:sz w:val="17"/>
              </w:rPr>
              <w:t>Endpoint</w:t>
            </w:r>
          </w:p>
        </w:tc>
        <w:tc>
          <w:tcPr>
            <w:tcW w:type="dxa" w:w="1584"/>
            <w:shd w:fill="1B365D"/>
            <w:tcMar>
              <w:top w:w="90" w:type="dxa"/>
              <w:bottom w:w="90" w:type="dxa"/>
              <w:left w:w="110" w:type="dxa"/>
              <w:right w:w="110" w:type="dxa"/>
            </w:tcMar>
          </w:tcPr>
          <w:p>
            <w:pPr>
              <w:spacing w:before="0" w:after="0"/>
            </w:pPr>
            <w:r>
              <w:rPr>
                <w:b/>
                <w:color w:val="FFFFFF"/>
                <w:sz w:val="17"/>
              </w:rPr>
              <w:t>HTTP Method</w:t>
            </w:r>
          </w:p>
        </w:tc>
        <w:tc>
          <w:tcPr>
            <w:tcW w:type="dxa" w:w="5904"/>
            <w:shd w:fill="1B365D"/>
            <w:tcMar>
              <w:top w:w="90" w:type="dxa"/>
              <w:bottom w:w="90" w:type="dxa"/>
              <w:left w:w="110" w:type="dxa"/>
              <w:right w:w="110" w:type="dxa"/>
            </w:tcMar>
          </w:tcPr>
          <w:p>
            <w:pPr>
              <w:spacing w:before="0" w:after="0"/>
            </w:pPr>
            <w:r>
              <w:rPr>
                <w:b/>
                <w:color w:val="FFFFFF"/>
                <w:sz w:val="17"/>
              </w:rPr>
              <w:t>Behavior &amp; Response Schema</w:t>
            </w:r>
          </w:p>
        </w:tc>
      </w:tr>
      <w:tr>
        <w:tc>
          <w:tcPr>
            <w:tcW w:type="dxa" w:w="2160"/>
            <w:shd w:fill="F7F9FB"/>
            <w:tcMar>
              <w:top w:w="60" w:type="dxa"/>
              <w:bottom w:w="60" w:type="dxa"/>
              <w:left w:w="110" w:type="dxa"/>
              <w:right w:w="110" w:type="dxa"/>
            </w:tcMar>
          </w:tcPr>
          <w:p>
            <w:pPr>
              <w:spacing w:before="0" w:after="0"/>
            </w:pPr>
            <w:r>
              <w:rPr>
                <w:color w:val="282828"/>
                <w:sz w:val="17"/>
              </w:rPr>
              <w:t>POST /predict</w:t>
            </w:r>
          </w:p>
        </w:tc>
        <w:tc>
          <w:tcPr>
            <w:tcW w:type="dxa" w:w="1584"/>
            <w:shd w:fill="F7F9FB"/>
            <w:tcMar>
              <w:top w:w="60" w:type="dxa"/>
              <w:bottom w:w="60" w:type="dxa"/>
              <w:left w:w="110" w:type="dxa"/>
              <w:right w:w="110" w:type="dxa"/>
            </w:tcMar>
          </w:tcPr>
          <w:p>
            <w:pPr>
              <w:spacing w:before="0" w:after="0"/>
            </w:pPr>
            <w:r>
              <w:rPr>
                <w:color w:val="282828"/>
                <w:sz w:val="17"/>
              </w:rPr>
              <w:t>POST</w:t>
            </w:r>
          </w:p>
        </w:tc>
        <w:tc>
          <w:tcPr>
            <w:tcW w:type="dxa" w:w="5904"/>
            <w:shd w:fill="F7F9FB"/>
            <w:tcMar>
              <w:top w:w="60" w:type="dxa"/>
              <w:bottom w:w="60" w:type="dxa"/>
              <w:left w:w="110" w:type="dxa"/>
              <w:right w:w="110" w:type="dxa"/>
            </w:tcMar>
          </w:tcPr>
          <w:p>
            <w:pPr>
              <w:spacing w:before="0" w:after="0"/>
            </w:pPr>
            <w:r>
              <w:rPr>
                <w:color w:val="282828"/>
                <w:sz w:val="17"/>
              </w:rPr>
              <w:t>Validates PatientFeatures, evaluates model, returns prediction (0/1), label, probability_disease, confidence, model_version.</w:t>
            </w:r>
          </w:p>
        </w:tc>
      </w:tr>
      <w:tr>
        <w:tc>
          <w:tcPr>
            <w:tcW w:type="dxa" w:w="2160"/>
            <w:shd w:fill="FFFFFF"/>
            <w:tcMar>
              <w:top w:w="60" w:type="dxa"/>
              <w:bottom w:w="60" w:type="dxa"/>
              <w:left w:w="110" w:type="dxa"/>
              <w:right w:w="110" w:type="dxa"/>
            </w:tcMar>
          </w:tcPr>
          <w:p>
            <w:pPr>
              <w:spacing w:before="0" w:after="0"/>
            </w:pPr>
            <w:r>
              <w:rPr>
                <w:color w:val="282828"/>
                <w:sz w:val="17"/>
              </w:rPr>
              <w:t>GET /health</w:t>
            </w:r>
          </w:p>
        </w:tc>
        <w:tc>
          <w:tcPr>
            <w:tcW w:type="dxa" w:w="1584"/>
            <w:shd w:fill="FFFFFF"/>
            <w:tcMar>
              <w:top w:w="60" w:type="dxa"/>
              <w:bottom w:w="60" w:type="dxa"/>
              <w:left w:w="110" w:type="dxa"/>
              <w:right w:w="110" w:type="dxa"/>
            </w:tcMar>
          </w:tcPr>
          <w:p>
            <w:pPr>
              <w:spacing w:before="0" w:after="0"/>
            </w:pPr>
            <w:r>
              <w:rPr>
                <w:color w:val="282828"/>
                <w:sz w:val="17"/>
              </w:rPr>
              <w:t>GET</w:t>
            </w:r>
          </w:p>
        </w:tc>
        <w:tc>
          <w:tcPr>
            <w:tcW w:type="dxa" w:w="5904"/>
            <w:shd w:fill="FFFFFF"/>
            <w:tcMar>
              <w:top w:w="60" w:type="dxa"/>
              <w:bottom w:w="60" w:type="dxa"/>
              <w:left w:w="110" w:type="dxa"/>
              <w:right w:w="110" w:type="dxa"/>
            </w:tcMar>
          </w:tcPr>
          <w:p>
            <w:pPr>
              <w:spacing w:before="0" w:after="0"/>
            </w:pPr>
            <w:r>
              <w:rPr>
                <w:color w:val="282828"/>
                <w:sz w:val="17"/>
              </w:rPr>
              <w:t>Probes model readiness. Returns status ('ok') and model_loaded boolean. Used by container and Kubernetes health probes.</w:t>
            </w:r>
          </w:p>
        </w:tc>
      </w:tr>
      <w:tr>
        <w:tc>
          <w:tcPr>
            <w:tcW w:type="dxa" w:w="2160"/>
            <w:shd w:fill="F7F9FB"/>
            <w:tcMar>
              <w:top w:w="60" w:type="dxa"/>
              <w:bottom w:w="60" w:type="dxa"/>
              <w:left w:w="110" w:type="dxa"/>
              <w:right w:w="110" w:type="dxa"/>
            </w:tcMar>
          </w:tcPr>
          <w:p>
            <w:pPr>
              <w:spacing w:before="0" w:after="0"/>
            </w:pPr>
            <w:r>
              <w:rPr>
                <w:color w:val="282828"/>
                <w:sz w:val="17"/>
              </w:rPr>
              <w:t>GET /model-info</w:t>
            </w:r>
          </w:p>
        </w:tc>
        <w:tc>
          <w:tcPr>
            <w:tcW w:type="dxa" w:w="1584"/>
            <w:shd w:fill="F7F9FB"/>
            <w:tcMar>
              <w:top w:w="60" w:type="dxa"/>
              <w:bottom w:w="60" w:type="dxa"/>
              <w:left w:w="110" w:type="dxa"/>
              <w:right w:w="110" w:type="dxa"/>
            </w:tcMar>
          </w:tcPr>
          <w:p>
            <w:pPr>
              <w:spacing w:before="0" w:after="0"/>
            </w:pPr>
            <w:r>
              <w:rPr>
                <w:color w:val="282828"/>
                <w:sz w:val="17"/>
              </w:rPr>
              <w:t>GET</w:t>
            </w:r>
          </w:p>
        </w:tc>
        <w:tc>
          <w:tcPr>
            <w:tcW w:type="dxa" w:w="5904"/>
            <w:shd w:fill="F7F9FB"/>
            <w:tcMar>
              <w:top w:w="60" w:type="dxa"/>
              <w:bottom w:w="60" w:type="dxa"/>
              <w:left w:w="110" w:type="dxa"/>
              <w:right w:w="110" w:type="dxa"/>
            </w:tcMar>
          </w:tcPr>
          <w:p>
            <w:pPr>
              <w:spacing w:before="0" w:after="0"/>
            </w:pPr>
            <w:r>
              <w:rPr>
                <w:color w:val="282828"/>
                <w:sz w:val="17"/>
              </w:rPr>
              <w:t>Exposes metadata.json (training timestamp, Git commit SHA, hold-out evaluation metrics).</w:t>
            </w:r>
          </w:p>
        </w:tc>
      </w:tr>
      <w:tr>
        <w:tc>
          <w:tcPr>
            <w:tcW w:type="dxa" w:w="2160"/>
            <w:shd w:fill="FFFFFF"/>
            <w:tcMar>
              <w:top w:w="60" w:type="dxa"/>
              <w:bottom w:w="60" w:type="dxa"/>
              <w:left w:w="110" w:type="dxa"/>
              <w:right w:w="110" w:type="dxa"/>
            </w:tcMar>
          </w:tcPr>
          <w:p>
            <w:pPr>
              <w:spacing w:before="0" w:after="0"/>
            </w:pPr>
            <w:r>
              <w:rPr>
                <w:color w:val="282828"/>
                <w:sz w:val="17"/>
              </w:rPr>
              <w:t>GET /metrics</w:t>
            </w:r>
          </w:p>
        </w:tc>
        <w:tc>
          <w:tcPr>
            <w:tcW w:type="dxa" w:w="1584"/>
            <w:shd w:fill="FFFFFF"/>
            <w:tcMar>
              <w:top w:w="60" w:type="dxa"/>
              <w:bottom w:w="60" w:type="dxa"/>
              <w:left w:w="110" w:type="dxa"/>
              <w:right w:w="110" w:type="dxa"/>
            </w:tcMar>
          </w:tcPr>
          <w:p>
            <w:pPr>
              <w:spacing w:before="0" w:after="0"/>
            </w:pPr>
            <w:r>
              <w:rPr>
                <w:color w:val="282828"/>
                <w:sz w:val="17"/>
              </w:rPr>
              <w:t>GET</w:t>
            </w:r>
          </w:p>
        </w:tc>
        <w:tc>
          <w:tcPr>
            <w:tcW w:type="dxa" w:w="5904"/>
            <w:shd w:fill="FFFFFF"/>
            <w:tcMar>
              <w:top w:w="60" w:type="dxa"/>
              <w:bottom w:w="60" w:type="dxa"/>
              <w:left w:w="110" w:type="dxa"/>
              <w:right w:w="110" w:type="dxa"/>
            </w:tcMar>
          </w:tcPr>
          <w:p>
            <w:pPr>
              <w:spacing w:before="0" w:after="0"/>
            </w:pPr>
            <w:r>
              <w:rPr>
                <w:color w:val="282828"/>
                <w:sz w:val="17"/>
              </w:rPr>
              <w:t>Exposes Prometheus telemetry (request counts, latency histograms, prediction class distribution).</w:t>
            </w:r>
          </w:p>
        </w:tc>
      </w:tr>
    </w:tbl>
    <w:tbl>
      <w:tblPr>
        <w:tblW w:type="auto" w:w="0"/>
        <w:jc w:val="center"/>
        <w:tblLook w:firstColumn="1" w:firstRow="1" w:lastColumn="0" w:lastRow="0" w:noHBand="0" w:noVBand="1" w:val="04A0"/>
      </w:tblPr>
      <w:tblGrid>
        <w:gridCol w:w="4874"/>
        <w:gridCol w:w="4874"/>
      </w:tblGrid>
      <w:tr>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353312"/>
                  <wp:docPr id="15" name="Picture 15"/>
                  <wp:cNvGraphicFramePr>
                    <a:graphicFrameLocks noChangeAspect="1"/>
                  </wp:cNvGraphicFramePr>
                  <a:graphic>
                    <a:graphicData uri="http://schemas.openxmlformats.org/drawingml/2006/picture">
                      <pic:pic>
                        <pic:nvPicPr>
                          <pic:cNvPr id="0" name="09_docker_build.png"/>
                          <pic:cNvPicPr/>
                        </pic:nvPicPr>
                        <pic:blipFill>
                          <a:blip r:embed="rId23"/>
                          <a:stretch>
                            <a:fillRect/>
                          </a:stretch>
                        </pic:blipFill>
                        <pic:spPr>
                          <a:xfrm>
                            <a:off x="0" y="0"/>
                            <a:ext cx="2926080" cy="1353312"/>
                          </a:xfrm>
                          <a:prstGeom prst="rect"/>
                        </pic:spPr>
                      </pic:pic>
                    </a:graphicData>
                  </a:graphic>
                </wp:inline>
              </w:drawing>
            </w:r>
          </w:p>
        </w:tc>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128979"/>
                  <wp:docPr id="16" name="Picture 16"/>
                  <wp:cNvGraphicFramePr>
                    <a:graphicFrameLocks noChangeAspect="1"/>
                  </wp:cNvGraphicFramePr>
                  <a:graphic>
                    <a:graphicData uri="http://schemas.openxmlformats.org/drawingml/2006/picture">
                      <pic:pic>
                        <pic:nvPicPr>
                          <pic:cNvPr id="0" name="10_docker_predict.png"/>
                          <pic:cNvPicPr/>
                        </pic:nvPicPr>
                        <pic:blipFill>
                          <a:blip r:embed="rId24"/>
                          <a:stretch>
                            <a:fillRect/>
                          </a:stretch>
                        </pic:blipFill>
                        <pic:spPr>
                          <a:xfrm>
                            <a:off x="0" y="0"/>
                            <a:ext cx="2926080" cy="1128979"/>
                          </a:xfrm>
                          <a:prstGeom prst="rect"/>
                        </pic:spPr>
                      </pic:pic>
                    </a:graphicData>
                  </a:graphic>
                </wp:inline>
              </w:drawing>
            </w:r>
          </w:p>
        </w:tc>
      </w:tr>
    </w:tbl>
    <w:p>
      <w:pPr>
        <w:spacing w:before="20" w:after="100"/>
        <w:jc w:val="center"/>
      </w:pPr>
      <w:r>
        <w:rPr>
          <w:i/>
          <w:color w:val="505050"/>
          <w:sz w:val="16"/>
        </w:rPr>
        <w:t>Figure 6: Containerization — (Left) Docker single-stage production build completing with 162 MB compressed image; (Right) Container running healthy on port 8000 and returning JSON prediction payload.</w:t>
      </w:r>
    </w:p>
    <w:p>
      <w:pPr>
        <w:pStyle w:val="Heading1"/>
        <w:keepNext/>
        <w:spacing w:before="220" w:after="60"/>
      </w:pPr>
      <w:r>
        <w:rPr>
          <w:b/>
          <w:color w:val="1B365D"/>
          <w:sz w:val="26"/>
        </w:rPr>
        <w:t>9. Production Deployment and Kubernetes Orchestration</w:t>
      </w:r>
    </w:p>
    <w:p>
      <w:pPr>
        <w:spacing w:before="0" w:after="60" w:line="269" w:lineRule="auto"/>
      </w:pPr>
      <w:r>
        <w:rPr>
          <w:color w:val="232323"/>
          <w:sz w:val="19"/>
        </w:rPr>
        <w:t>Declarative Kubernetes manifests (k8s/) support scalable production deployment across local clusters (Docker Desktop Kubernetes, Minikube) and managed cloud platforms (GKE, EKS, AKS):</w:t>
      </w:r>
    </w:p>
    <w:p>
      <w:pPr>
        <w:pStyle w:val="ListBullet"/>
        <w:spacing w:before="0" w:after="40" w:line="269" w:lineRule="auto"/>
      </w:pPr>
      <w:r>
        <w:rPr>
          <w:b/>
          <w:color w:val="1B365D"/>
        </w:rPr>
        <w:t xml:space="preserve">Deployment (k8s/deployment.yaml): </w:t>
      </w:r>
      <w:r>
        <w:rPr>
          <w:color w:val="232323"/>
          <w:sz w:val="19"/>
        </w:rPr>
        <w:t>2 pod replicas for high availability, resource requests (100m CPU, 256Mi RAM), limits (500m CPU, 512Mi RAM), liveness and readiness probes on /health, Prometheus scrape annotations.</w:t>
      </w:r>
    </w:p>
    <w:p>
      <w:pPr>
        <w:pStyle w:val="ListBullet"/>
        <w:spacing w:before="0" w:after="40" w:line="269" w:lineRule="auto"/>
      </w:pPr>
      <w:r>
        <w:rPr>
          <w:b/>
          <w:color w:val="1B365D"/>
        </w:rPr>
        <w:t xml:space="preserve">Service (k8s/service.yaml): </w:t>
      </w:r>
      <w:r>
        <w:rPr>
          <w:color w:val="232323"/>
          <w:sz w:val="19"/>
        </w:rPr>
        <w:t>LoadBalancer service exposing HTTP port 80 and routing to container targetPort 8000.</w:t>
      </w:r>
    </w:p>
    <w:p>
      <w:pPr>
        <w:pStyle w:val="ListBullet"/>
        <w:spacing w:before="0" w:after="40" w:line="269" w:lineRule="auto"/>
      </w:pPr>
      <w:r>
        <w:rPr>
          <w:b/>
          <w:color w:val="1B365D"/>
        </w:rPr>
        <w:t xml:space="preserve">Autoscaling (k8s/hpa.yaml): </w:t>
      </w:r>
      <w:r>
        <w:rPr>
          <w:color w:val="232323"/>
          <w:sz w:val="19"/>
        </w:rPr>
        <w:t>Horizontal Pod Autoscaler scaling from 2 to 5 replicas when average CPU exceeds 70%.</w:t>
      </w:r>
    </w:p>
    <w:p>
      <w:pPr>
        <w:pStyle w:val="Heading2"/>
        <w:keepNext/>
        <w:spacing w:before="160" w:after="40"/>
      </w:pPr>
      <w:r>
        <w:rPr>
          <w:b/>
          <w:color w:val="294A6E"/>
          <w:sz w:val="22"/>
        </w:rPr>
        <w:t>9.2 Deployed API Access and Invocation</w:t>
      </w:r>
    </w:p>
    <w:p>
      <w:pPr>
        <w:spacing w:before="0" w:after="60" w:line="269" w:lineRule="auto"/>
      </w:pPr>
      <w:r>
        <w:rPr>
          <w:color w:val="232323"/>
          <w:sz w:val="19"/>
        </w:rPr>
        <w:t>The microservice can be queried via standard HTTP clients. Below is the active deployment access specification:</w:t>
      </w:r>
    </w:p>
    <w:p>
      <w:pPr>
        <w:pStyle w:val="ListBullet"/>
        <w:spacing w:before="0" w:after="40" w:line="269" w:lineRule="auto"/>
      </w:pPr>
      <w:r>
        <w:rPr>
          <w:b/>
          <w:color w:val="1B365D"/>
        </w:rPr>
        <w:t xml:space="preserve">Deployment Host &amp; Port: </w:t>
      </w:r>
      <w:r>
        <w:rPr>
          <w:color w:val="232323"/>
          <w:sz w:val="19"/>
        </w:rPr>
        <w:t>Local cluster: http://localhost:80 (LoadBalancer) or http://localhost:8000 (direct/port-forward).</w:t>
      </w:r>
    </w:p>
    <w:p>
      <w:pPr>
        <w:pStyle w:val="ListBullet"/>
        <w:spacing w:before="0" w:after="40" w:line="269" w:lineRule="auto"/>
      </w:pPr>
      <w:r>
        <w:rPr>
          <w:b/>
          <w:color w:val="1B365D"/>
        </w:rPr>
        <w:t xml:space="preserve">Health Verification Endpoint: </w:t>
      </w:r>
      <w:r>
        <w:rPr>
          <w:color w:val="232323"/>
          <w:sz w:val="19"/>
        </w:rPr>
        <w:t>GET http://localhost/health (returns HTTP 200: {"status": "ok", "model_loaded": true}).</w:t>
      </w:r>
    </w:p>
    <w:p>
      <w:pPr>
        <w:pStyle w:val="ListBullet"/>
        <w:spacing w:before="0" w:after="40" w:line="269" w:lineRule="auto"/>
      </w:pPr>
      <w:r>
        <w:rPr>
          <w:b/>
          <w:color w:val="1B365D"/>
        </w:rPr>
        <w:t xml:space="preserve">Interactive API Documentation: </w:t>
      </w:r>
      <w:r>
        <w:rPr>
          <w:color w:val="232323"/>
          <w:sz w:val="19"/>
        </w:rPr>
        <w:t>Swagger UI accessible at http://localhost:8000/docs.</w:t>
      </w:r>
    </w:p>
    <w:tbl>
      <w:tblPr>
        <w:tblW w:type="auto" w:w="0"/>
        <w:jc w:val="center"/>
        <w:tblLook w:firstColumn="1" w:firstRow="1" w:lastColumn="0" w:lastRow="0" w:noHBand="0" w:noVBand="1" w:val="04A0"/>
      </w:tblPr>
      <w:tblGrid>
        <w:gridCol w:w="9749"/>
      </w:tblGrid>
      <w:tr>
        <w:tc>
          <w:tcPr>
            <w:tcW w:type="dxa" w:w="9360"/>
            <w:shd w:fill="F0F4F8"/>
            <w:tcMar>
              <w:top w:w="90" w:type="dxa"/>
              <w:bottom w:w="90" w:type="dxa"/>
              <w:left w:w="140" w:type="dxa"/>
              <w:right w:w="140" w:type="dxa"/>
            </w:tcMar>
            <w:tcBorders>
              <w:left w:val="single" w:sz="20" w:space="0" w:color="1B365D"/>
              <w:top w:val="single" w:sz="4" w:space="0" w:color="D0D7DE"/>
              <w:bottom w:val="single" w:sz="4" w:space="0" w:color="D0D7DE"/>
              <w:right w:val="single" w:sz="4" w:space="0" w:color="D0D7DE"/>
            </w:tcBorders>
          </w:tcPr>
          <w:p>
            <w:pPr>
              <w:spacing w:before="20" w:after="60"/>
            </w:pPr>
            <w:r>
              <w:rPr>
                <w:b/>
                <w:color w:val="1B365D"/>
                <w:sz w:val="18"/>
              </w:rPr>
              <w:t>■ Sample curl Inference Request</w:t>
            </w:r>
          </w:p>
          <w:p>
            <w:pPr>
              <w:spacing w:before="0" w:after="0"/>
            </w:pPr>
            <w:r>
              <w:rPr>
                <w:rFonts w:ascii="Consolas" w:hAnsi="Consolas"/>
                <w:color w:val="1E1E1E"/>
                <w:sz w:val="16"/>
              </w:rPr>
              <w:t>curl -X POST http://localhost/predict \</w:t>
            </w:r>
          </w:p>
          <w:p>
            <w:pPr>
              <w:spacing w:before="0" w:after="0"/>
            </w:pPr>
            <w:r>
              <w:rPr>
                <w:rFonts w:ascii="Consolas" w:hAnsi="Consolas"/>
                <w:color w:val="1E1E1E"/>
                <w:sz w:val="16"/>
              </w:rPr>
              <w:t xml:space="preserve">  -H "Content-Type: application/json" \</w:t>
            </w:r>
          </w:p>
          <w:p>
            <w:pPr>
              <w:spacing w:before="0" w:after="0"/>
            </w:pPr>
            <w:r>
              <w:rPr>
                <w:rFonts w:ascii="Consolas" w:hAnsi="Consolas"/>
                <w:color w:val="1E1E1E"/>
                <w:sz w:val="16"/>
              </w:rPr>
              <w:t xml:space="preserve">  -d '{"age": 57, "sex": 1, "cp": 2, "trestbps": 130, "chol": 236, \</w:t>
            </w:r>
          </w:p>
          <w:p>
            <w:pPr>
              <w:spacing w:before="0" w:after="0"/>
            </w:pPr>
            <w:r>
              <w:rPr>
                <w:rFonts w:ascii="Consolas" w:hAnsi="Consolas"/>
                <w:color w:val="1E1E1E"/>
                <w:sz w:val="16"/>
              </w:rPr>
              <w:t xml:space="preserve">       "fbs": 0, "restecg": 0, "thalach": 174, "exang": 0, "oldpeak": 0.0, \</w:t>
            </w:r>
          </w:p>
          <w:p>
            <w:pPr>
              <w:spacing w:before="0" w:after="0"/>
            </w:pPr>
            <w:r>
              <w:rPr>
                <w:rFonts w:ascii="Consolas" w:hAnsi="Consolas"/>
                <w:color w:val="1E1E1E"/>
                <w:sz w:val="16"/>
              </w:rPr>
              <w:t xml:space="preserve">       "slope": 1, "ca": 1, "thal": 3}'</w:t>
            </w:r>
          </w:p>
          <w:p>
            <w:pPr>
              <w:spacing w:before="0" w:after="0"/>
            </w:pPr>
            <w:r>
              <w:rPr>
                <w:rFonts w:ascii="Consolas" w:hAnsi="Consolas"/>
                <w:color w:val="1E1E1E"/>
                <w:sz w:val="16"/>
              </w:rPr>
            </w:r>
          </w:p>
          <w:p>
            <w:pPr>
              <w:spacing w:before="0" w:after="0"/>
            </w:pPr>
            <w:r>
              <w:rPr>
                <w:rFonts w:ascii="Consolas" w:hAnsi="Consolas"/>
                <w:color w:val="1E1E1E"/>
                <w:sz w:val="16"/>
              </w:rPr>
              <w:t># Response (HTTP 200 OK):</w:t>
            </w:r>
          </w:p>
          <w:p>
            <w:pPr>
              <w:spacing w:before="0" w:after="0"/>
            </w:pPr>
            <w:r>
              <w:rPr>
                <w:rFonts w:ascii="Consolas" w:hAnsi="Consolas"/>
                <w:color w:val="1E1E1E"/>
                <w:sz w:val="16"/>
              </w:rPr>
              <w:t>{"prediction": 0, "label": "no_disease", "probability_disease": 0.4258,</w:t>
            </w:r>
          </w:p>
          <w:p>
            <w:pPr>
              <w:spacing w:before="0" w:after="0"/>
            </w:pPr>
            <w:r>
              <w:rPr>
                <w:rFonts w:ascii="Consolas" w:hAnsi="Consolas"/>
                <w:color w:val="1E1E1E"/>
                <w:sz w:val="16"/>
              </w:rPr>
              <w:t xml:space="preserve"> "confidence": 0.5742, "model_version": "logistic_regression-20261020082404"}</w:t>
            </w:r>
          </w:p>
        </w:tc>
      </w:tr>
    </w:tbl>
    <w:p>
      <w:pPr>
        <w:spacing w:before="20" w:after="40"/>
      </w:pPr>
    </w:p>
    <w:tbl>
      <w:tblPr>
        <w:tblW w:type="auto" w:w="0"/>
        <w:jc w:val="center"/>
        <w:tblLook w:firstColumn="1" w:firstRow="1" w:lastColumn="0" w:lastRow="0" w:noHBand="0" w:noVBand="1" w:val="04A0"/>
      </w:tblPr>
      <w:tblGrid>
        <w:gridCol w:w="4874"/>
        <w:gridCol w:w="4874"/>
      </w:tblGrid>
      <w:tr>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128979"/>
                  <wp:docPr id="17" name="Picture 17"/>
                  <wp:cNvGraphicFramePr>
                    <a:graphicFrameLocks noChangeAspect="1"/>
                  </wp:cNvGraphicFramePr>
                  <a:graphic>
                    <a:graphicData uri="http://schemas.openxmlformats.org/drawingml/2006/picture">
                      <pic:pic>
                        <pic:nvPicPr>
                          <pic:cNvPr id="0" name="11_k8s_pods_svc.png"/>
                          <pic:cNvPicPr/>
                        </pic:nvPicPr>
                        <pic:blipFill>
                          <a:blip r:embed="rId25"/>
                          <a:stretch>
                            <a:fillRect/>
                          </a:stretch>
                        </pic:blipFill>
                        <pic:spPr>
                          <a:xfrm>
                            <a:off x="0" y="0"/>
                            <a:ext cx="2926080" cy="1128979"/>
                          </a:xfrm>
                          <a:prstGeom prst="rect"/>
                        </pic:spPr>
                      </pic:pic>
                    </a:graphicData>
                  </a:graphic>
                </wp:inline>
              </w:drawing>
            </w:r>
          </w:p>
        </w:tc>
        <w:tc>
          <w:tcPr>
            <w:tcW w:type="dxa" w:w="4608"/>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926080" cy="1128979"/>
                  <wp:docPr id="18" name="Picture 18"/>
                  <wp:cNvGraphicFramePr>
                    <a:graphicFrameLocks noChangeAspect="1"/>
                  </wp:cNvGraphicFramePr>
                  <a:graphic>
                    <a:graphicData uri="http://schemas.openxmlformats.org/drawingml/2006/picture">
                      <pic:pic>
                        <pic:nvPicPr>
                          <pic:cNvPr id="0" name="12_k8s_predict.png"/>
                          <pic:cNvPicPr/>
                        </pic:nvPicPr>
                        <pic:blipFill>
                          <a:blip r:embed="rId26"/>
                          <a:stretch>
                            <a:fillRect/>
                          </a:stretch>
                        </pic:blipFill>
                        <pic:spPr>
                          <a:xfrm>
                            <a:off x="0" y="0"/>
                            <a:ext cx="2926080" cy="1128979"/>
                          </a:xfrm>
                          <a:prstGeom prst="rect"/>
                        </pic:spPr>
                      </pic:pic>
                    </a:graphicData>
                  </a:graphic>
                </wp:inline>
              </w:drawing>
            </w:r>
          </w:p>
        </w:tc>
      </w:tr>
    </w:tbl>
    <w:p>
      <w:pPr>
        <w:spacing w:before="20" w:after="100"/>
        <w:jc w:val="center"/>
      </w:pPr>
      <w:r>
        <w:rPr>
          <w:i/>
          <w:color w:val="505050"/>
          <w:sz w:val="16"/>
        </w:rPr>
        <w:t>Figure 7: Kubernetes Deployment — (Left) Active Pods (pod/heart-disease-api-7b8df95c4d-6m8qk, x92pt) and LoadBalancer Service (10.108.45.192:80); (Right) Successful HTTP inference request routed through the LoadBalancer Service on localhost:80.</w:t>
      </w:r>
    </w:p>
    <w:p>
      <w:pPr>
        <w:pStyle w:val="Heading1"/>
        <w:keepNext/>
        <w:spacing w:before="220" w:after="60"/>
      </w:pPr>
      <w:r>
        <w:rPr>
          <w:b/>
          <w:color w:val="1B365D"/>
          <w:sz w:val="26"/>
        </w:rPr>
        <w:t>10. Monitoring and Logging</w:t>
      </w:r>
    </w:p>
    <w:p>
      <w:pPr>
        <w:spacing w:before="0" w:after="60" w:line="269" w:lineRule="auto"/>
      </w:pPr>
      <w:r>
        <w:rPr>
          <w:color w:val="232323"/>
          <w:sz w:val="19"/>
        </w:rPr>
        <w:t>The observability framework pairs structured JSON request logging with Prometheus metrics collection and a Grafana dashboard:</w:t>
      </w:r>
    </w:p>
    <w:p>
      <w:pPr>
        <w:pStyle w:val="ListBullet"/>
        <w:spacing w:before="0" w:after="40" w:line="269" w:lineRule="auto"/>
      </w:pPr>
      <w:r>
        <w:rPr>
          <w:b/>
          <w:color w:val="1B365D"/>
        </w:rPr>
        <w:t xml:space="preserve">Privacy-Conscious Structured Request Logging: </w:t>
      </w:r>
      <w:r>
        <w:rPr>
          <w:color w:val="232323"/>
          <w:sz w:val="19"/>
        </w:rPr>
        <w:t>FastAPI middleware intercepts every HTTP transaction, assigns an X-Request-ID header, tracks latency via time.perf_counter(), and logs structured JSON (method, path, status, latency_ms). To comply with healthcare data privacy principles, raw clinical measurements are strictly omitted from logs; only the prediction class and confidence are recorded.</w:t>
      </w:r>
    </w:p>
    <w:p>
      <w:pPr>
        <w:pStyle w:val="ListBullet"/>
        <w:spacing w:before="0" w:after="40" w:line="269" w:lineRule="auto"/>
      </w:pPr>
      <w:r>
        <w:rPr>
          <w:b/>
          <w:color w:val="1B365D"/>
        </w:rPr>
        <w:t xml:space="preserve">Prometheus Metrics Instrumentation: </w:t>
      </w:r>
      <w:r>
        <w:rPr>
          <w:color w:val="232323"/>
          <w:sz w:val="19"/>
        </w:rPr>
        <w:t>Exposes api_requests_total (partitioned by method, path, status), api_request_latency_seconds (histogram buckets), and predictions_total (disease vs no_disease). Bounded route templates prevent metric cardinality explosion.</w:t>
      </w:r>
    </w:p>
    <w:p>
      <w:pPr>
        <w:pStyle w:val="ListBullet"/>
        <w:spacing w:before="0" w:after="40" w:line="269" w:lineRule="auto"/>
      </w:pPr>
      <w:r>
        <w:rPr>
          <w:b/>
          <w:color w:val="1B365D"/>
        </w:rPr>
        <w:t xml:space="preserve">Grafana Observability Dashboard: </w:t>
      </w:r>
      <w:r>
        <w:rPr>
          <w:color w:val="232323"/>
          <w:sz w:val="19"/>
        </w:rPr>
        <w:t>docker-compose.yml runs Prometheus (:9090) and Grafana (:3000) alongside the API. Grafana is pre-provisioned with panels for Request Throughput, p95 Latency, 5xx Error Rate, and Prediction Class Distribution. In cluster deployments, the identical /metrics endpoint is scraped by the cluster Prometheus operator using the pod annotations declared in k8s/deployment.yaml.</w:t>
      </w:r>
    </w:p>
    <w:tbl>
      <w:tblPr>
        <w:tblW w:type="auto" w:w="0"/>
        <w:jc w:val="center"/>
        <w:tblLook w:firstColumn="1" w:firstRow="1" w:lastColumn="0" w:lastRow="0" w:noHBand="0" w:noVBand="1" w:val="04A0"/>
      </w:tblPr>
      <w:tblGrid>
        <w:gridCol w:w="9749"/>
      </w:tblGrid>
      <w:tr>
        <w:tc>
          <w:tcPr>
            <w:tcW w:type="dxa" w:w="9360"/>
            <w:shd w:fill="F0F4F8"/>
            <w:tcMar>
              <w:top w:w="90" w:type="dxa"/>
              <w:bottom w:w="90" w:type="dxa"/>
              <w:left w:w="140" w:type="dxa"/>
              <w:right w:w="140" w:type="dxa"/>
            </w:tcMar>
            <w:tcBorders>
              <w:left w:val="single" w:sz="20" w:space="0" w:color="1B365D"/>
              <w:top w:val="single" w:sz="4" w:space="0" w:color="D0D7DE"/>
              <w:bottom w:val="single" w:sz="4" w:space="0" w:color="D0D7DE"/>
              <w:right w:val="single" w:sz="4" w:space="0" w:color="D0D7DE"/>
            </w:tcBorders>
          </w:tcPr>
          <w:p>
            <w:pPr>
              <w:spacing w:before="20" w:after="60"/>
            </w:pPr>
            <w:r>
              <w:rPr>
                <w:b/>
                <w:color w:val="1B365D"/>
                <w:sz w:val="18"/>
              </w:rPr>
              <w:t>■ Observability Verification (Prometheus Scrape Excerpt)</w:t>
            </w:r>
          </w:p>
          <w:p>
            <w:pPr>
              <w:spacing w:before="0" w:after="0"/>
            </w:pPr>
            <w:r>
              <w:rPr>
                <w:rFonts w:ascii="Consolas" w:hAnsi="Consolas"/>
                <w:color w:val="1E1E1E"/>
                <w:sz w:val="16"/>
              </w:rPr>
              <w:t># Prometheus Scrape Excerpt (http://localhost:8000/metrics after 300 load test requests):</w:t>
            </w:r>
          </w:p>
          <w:p>
            <w:pPr>
              <w:spacing w:before="0" w:after="0"/>
            </w:pPr>
            <w:r>
              <w:rPr>
                <w:rFonts w:ascii="Consolas" w:hAnsi="Consolas"/>
                <w:color w:val="1E1E1E"/>
                <w:sz w:val="16"/>
              </w:rPr>
              <w:t>api_requests_total{method="POST",path="/predict",status="200"} 288.0</w:t>
            </w:r>
          </w:p>
          <w:p>
            <w:pPr>
              <w:spacing w:before="0" w:after="0"/>
            </w:pPr>
            <w:r>
              <w:rPr>
                <w:rFonts w:ascii="Consolas" w:hAnsi="Consolas"/>
                <w:color w:val="1E1E1E"/>
                <w:sz w:val="16"/>
              </w:rPr>
              <w:t>api_requests_total{method="POST",path="/predict",status="422"} 12.0</w:t>
            </w:r>
          </w:p>
          <w:p>
            <w:pPr>
              <w:spacing w:before="0" w:after="0"/>
            </w:pPr>
            <w:r>
              <w:rPr>
                <w:rFonts w:ascii="Consolas" w:hAnsi="Consolas"/>
                <w:color w:val="1E1E1E"/>
                <w:sz w:val="16"/>
              </w:rPr>
              <w:t>predictions_total{label="no_disease"} 97.0</w:t>
            </w:r>
          </w:p>
          <w:p>
            <w:pPr>
              <w:spacing w:before="0" w:after="0"/>
            </w:pPr>
            <w:r>
              <w:rPr>
                <w:rFonts w:ascii="Consolas" w:hAnsi="Consolas"/>
                <w:color w:val="1E1E1E"/>
                <w:sz w:val="16"/>
              </w:rPr>
              <w:t>predictions_total{label="disease"} 191.0</w:t>
            </w:r>
          </w:p>
          <w:p>
            <w:pPr>
              <w:spacing w:before="0" w:after="0"/>
            </w:pPr>
            <w:r>
              <w:rPr>
                <w:rFonts w:ascii="Consolas" w:hAnsi="Consolas"/>
                <w:color w:val="1E1E1E"/>
                <w:sz w:val="16"/>
              </w:rPr>
              <w:t>api_request_latency_seconds_bucket{le="0.05",path="/predict"} 298.0</w:t>
            </w:r>
          </w:p>
        </w:tc>
      </w:tr>
    </w:tbl>
    <w:p>
      <w:pPr>
        <w:spacing w:before="20" w:after="40"/>
      </w:pPr>
    </w:p>
    <w:tbl>
      <w:tblPr>
        <w:tblW w:type="auto" w:w="0"/>
        <w:jc w:val="center"/>
        <w:tblLook w:firstColumn="1" w:firstRow="1" w:lastColumn="0" w:lastRow="0" w:noHBand="0" w:noVBand="1" w:val="04A0"/>
      </w:tblPr>
      <w:tblGrid>
        <w:gridCol w:w="4874"/>
        <w:gridCol w:w="4874"/>
      </w:tblGrid>
      <w:tr>
        <w:tc>
          <w:tcPr>
            <w:tcW w:type="dxa" w:w="4464"/>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2834640" cy="985037"/>
                  <wp:docPr id="19" name="Picture 19"/>
                  <wp:cNvGraphicFramePr>
                    <a:graphicFrameLocks noChangeAspect="1"/>
                  </wp:cNvGraphicFramePr>
                  <a:graphic>
                    <a:graphicData uri="http://schemas.openxmlformats.org/drawingml/2006/picture">
                      <pic:pic>
                        <pic:nvPicPr>
                          <pic:cNvPr id="0" name="13_api_logs.png"/>
                          <pic:cNvPicPr/>
                        </pic:nvPicPr>
                        <pic:blipFill>
                          <a:blip r:embed="rId27"/>
                          <a:stretch>
                            <a:fillRect/>
                          </a:stretch>
                        </pic:blipFill>
                        <pic:spPr>
                          <a:xfrm>
                            <a:off x="0" y="0"/>
                            <a:ext cx="2834640" cy="985037"/>
                          </a:xfrm>
                          <a:prstGeom prst="rect"/>
                        </pic:spPr>
                      </pic:pic>
                    </a:graphicData>
                  </a:graphic>
                </wp:inline>
              </w:drawing>
            </w:r>
          </w:p>
        </w:tc>
        <w:tc>
          <w:tcPr>
            <w:tcW w:type="dxa" w:w="4752"/>
            <w:shd w:fill="FFFFFF"/>
            <w:tcMar>
              <w:top w:w="0" w:type="dxa"/>
              <w:bottom w:w="0" w:type="dxa"/>
              <w:left w:w="0" w:type="dxa"/>
              <w:right w:w="0" w:type="dxa"/>
            </w:tcMar>
          </w:tcPr>
          <w:p>
            <w:pPr>
              <w:jc w:val="center"/>
            </w:pPr>
            <w:r>
              <w:drawing>
                <wp:inline xmlns:a="http://schemas.openxmlformats.org/drawingml/2006/main" xmlns:pic="http://schemas.openxmlformats.org/drawingml/2006/picture">
                  <wp:extent cx="3017520" cy="2061588"/>
                  <wp:docPr id="20" name="Picture 20"/>
                  <wp:cNvGraphicFramePr>
                    <a:graphicFrameLocks noChangeAspect="1"/>
                  </wp:cNvGraphicFramePr>
                  <a:graphic>
                    <a:graphicData uri="http://schemas.openxmlformats.org/drawingml/2006/picture">
                      <pic:pic>
                        <pic:nvPicPr>
                          <pic:cNvPr id="0" name="14_grafana_dashboard.png"/>
                          <pic:cNvPicPr/>
                        </pic:nvPicPr>
                        <pic:blipFill>
                          <a:blip r:embed="rId28"/>
                          <a:stretch>
                            <a:fillRect/>
                          </a:stretch>
                        </pic:blipFill>
                        <pic:spPr>
                          <a:xfrm>
                            <a:off x="0" y="0"/>
                            <a:ext cx="3017520" cy="2061588"/>
                          </a:xfrm>
                          <a:prstGeom prst="rect"/>
                        </pic:spPr>
                      </pic:pic>
                    </a:graphicData>
                  </a:graphic>
                </wp:inline>
              </w:drawing>
            </w:r>
          </w:p>
        </w:tc>
      </w:tr>
    </w:tbl>
    <w:p>
      <w:pPr>
        <w:spacing w:before="20" w:after="100"/>
        <w:jc w:val="center"/>
      </w:pPr>
      <w:r>
        <w:rPr>
          <w:i/>
          <w:color w:val="505050"/>
          <w:sz w:val="16"/>
        </w:rPr>
        <w:t>Figure 8: Observability — (Left) Privacy-conscious structured JSON container logs with request IDs and latency; (Right) Real-time Grafana dashboard displaying request rate, p95 latency, and prediction distribution (97 no_disease vs 191 disease).</w:t>
      </w:r>
    </w:p>
    <w:p>
      <w:pPr>
        <w:pStyle w:val="Heading1"/>
        <w:keepNext/>
        <w:spacing w:before="220" w:after="60"/>
      </w:pPr>
      <w:r>
        <w:rPr>
          <w:b/>
          <w:color w:val="1B365D"/>
          <w:sz w:val="26"/>
        </w:rPr>
        <w:t>11. Limitations, Governance, and Future Work</w:t>
      </w:r>
    </w:p>
    <w:p>
      <w:pPr>
        <w:spacing w:before="0" w:after="60" w:line="269" w:lineRule="auto"/>
      </w:pPr>
      <w:r>
        <w:rPr>
          <w:color w:val="232323"/>
          <w:sz w:val="19"/>
        </w:rPr>
        <w:t>Key engineering constraints and governance considerations:</w:t>
      </w:r>
    </w:p>
    <w:p>
      <w:pPr>
        <w:pStyle w:val="ListBullet"/>
        <w:spacing w:before="0" w:after="40" w:line="269" w:lineRule="auto"/>
      </w:pPr>
      <w:r>
        <w:rPr>
          <w:b/>
          <w:color w:val="1B365D"/>
        </w:rPr>
        <w:t xml:space="preserve">Sample Size &amp; Population Drift: </w:t>
      </w:r>
      <w:r>
        <w:rPr>
          <w:color w:val="232323"/>
          <w:sz w:val="19"/>
        </w:rPr>
        <w:t>The Cleveland benchmark is small (N=303) and reflects historical patient demographics (1989). In production, a data-drift detector (e.g., Evidently AI) should monitor Kolmogorov-Smirnov statistics on continuous inputs and Population Stability Index (PSI) on categorical features.</w:t>
      </w:r>
    </w:p>
    <w:p>
      <w:pPr>
        <w:pStyle w:val="ListBullet"/>
        <w:spacing w:before="0" w:after="40" w:line="269" w:lineRule="auto"/>
      </w:pPr>
      <w:r>
        <w:rPr>
          <w:b/>
          <w:color w:val="1B365D"/>
        </w:rPr>
        <w:t xml:space="preserve">Automated Model Governance &amp; Promotion: </w:t>
      </w:r>
      <w:r>
        <w:rPr>
          <w:color w:val="232323"/>
          <w:sz w:val="19"/>
        </w:rPr>
        <w:t>Future iterations should integrate a formal model registry with automated canary deployment gates, comparing newly trained models against production champions on shadow traffic before routing clinical requests.</w:t>
      </w:r>
    </w:p>
    <w:p>
      <w:pPr>
        <w:pStyle w:val="Heading1"/>
        <w:keepNext/>
        <w:spacing w:before="220" w:after="60"/>
      </w:pPr>
      <w:r>
        <w:rPr>
          <w:b/>
          <w:color w:val="1B365D"/>
          <w:sz w:val="26"/>
        </w:rPr>
        <w:t>12. Conclusion</w:t>
      </w:r>
    </w:p>
    <w:p>
      <w:pPr>
        <w:spacing w:before="0" w:after="60" w:line="269" w:lineRule="auto"/>
      </w:pPr>
      <w:r>
        <w:rPr>
          <w:color w:val="232323"/>
          <w:sz w:val="19"/>
        </w:rPr>
        <w:t>This project establishes a reproducible, production-grade MLOps pipeline for heart disease risk classification. Through leakage-free data processing, nested cross-validation, MLflow tracking, containerization with security hardening, declarative Kubernetes orchestration, and continuous monitoring via Prometheus and Grafana, the implementation satisfies the operational requirements of dependable clinical machine learning engineering.</w:t>
      </w:r>
    </w:p>
    <w:p>
      <w:pPr>
        <w:pStyle w:val="Heading1"/>
        <w:keepNext/>
        <w:spacing w:before="220" w:after="60"/>
      </w:pPr>
      <w:r>
        <w:rPr>
          <w:b/>
          <w:color w:val="1B365D"/>
          <w:sz w:val="26"/>
        </w:rPr>
        <w:t>Appendix A: Repository Structure</w:t>
      </w:r>
    </w:p>
    <w:p>
      <w:pPr>
        <w:spacing w:before="0" w:after="60" w:line="269" w:lineRule="auto"/>
      </w:pPr>
      <w:r>
        <w:rPr>
          <w:color w:val="232323"/>
          <w:sz w:val="19"/>
        </w:rPr>
        <w:t>The repository is structured into standard production components:</w:t>
      </w:r>
    </w:p>
    <w:tbl>
      <w:tblPr>
        <w:tblW w:type="auto" w:w="0"/>
        <w:jc w:val="center"/>
        <w:tblLook w:firstColumn="1" w:firstRow="1" w:lastColumn="0" w:lastRow="0" w:noHBand="0" w:noVBand="1" w:val="04A0"/>
      </w:tblPr>
      <w:tblGrid>
        <w:gridCol w:w="9749"/>
      </w:tblGrid>
      <w:tr>
        <w:tc>
          <w:tcPr>
            <w:tcW w:type="dxa" w:w="9360"/>
            <w:shd w:fill="F0F4F8"/>
            <w:tcMar>
              <w:top w:w="90" w:type="dxa"/>
              <w:bottom w:w="90" w:type="dxa"/>
              <w:left w:w="140" w:type="dxa"/>
              <w:right w:w="140" w:type="dxa"/>
            </w:tcMar>
            <w:tcBorders>
              <w:left w:val="single" w:sz="20" w:space="0" w:color="1B365D"/>
              <w:top w:val="single" w:sz="4" w:space="0" w:color="D0D7DE"/>
              <w:bottom w:val="single" w:sz="4" w:space="0" w:color="D0D7DE"/>
              <w:right w:val="single" w:sz="4" w:space="0" w:color="D0D7DE"/>
            </w:tcBorders>
          </w:tcPr>
          <w:p>
            <w:pPr>
              <w:spacing w:before="20" w:after="60"/>
            </w:pPr>
            <w:r>
              <w:rPr>
                <w:b/>
                <w:color w:val="1B365D"/>
                <w:sz w:val="18"/>
              </w:rPr>
              <w:t>■ Directory Hierarchy (https://github.com/Mohana1507/heart-disease-mlops)</w:t>
            </w:r>
          </w:p>
          <w:p>
            <w:pPr>
              <w:spacing w:before="0" w:after="0"/>
            </w:pPr>
            <w:r>
              <w:rPr>
                <w:rFonts w:ascii="Consolas" w:hAnsi="Consolas"/>
                <w:color w:val="1E1E1E"/>
                <w:sz w:val="16"/>
              </w:rPr>
              <w:t>heart-disease-mlops/</w:t>
            </w:r>
          </w:p>
          <w:p>
            <w:pPr>
              <w:spacing w:before="0" w:after="0"/>
            </w:pPr>
            <w:r>
              <w:rPr>
                <w:rFonts w:ascii="Consolas" w:hAnsi="Consolas"/>
                <w:color w:val="1E1E1E"/>
                <w:sz w:val="16"/>
              </w:rPr>
              <w:t>├── .github/workflows/ci.yml     # 4-stage GitHub Actions CI/CD workflow</w:t>
            </w:r>
          </w:p>
          <w:p>
            <w:pPr>
              <w:spacing w:before="0" w:after="0"/>
            </w:pPr>
            <w:r>
              <w:rPr>
                <w:rFonts w:ascii="Consolas" w:hAnsi="Consolas"/>
                <w:color w:val="1E1E1E"/>
                <w:sz w:val="16"/>
              </w:rPr>
              <w:t>├── src/heart/                   # Production library (data, features, modeling, api)</w:t>
            </w:r>
          </w:p>
          <w:p>
            <w:pPr>
              <w:spacing w:before="0" w:after="0"/>
            </w:pPr>
            <w:r>
              <w:rPr>
                <w:rFonts w:ascii="Consolas" w:hAnsi="Consolas"/>
                <w:color w:val="1E1E1E"/>
                <w:sz w:val="16"/>
              </w:rPr>
              <w:t>├── tests/                       # 21 automated unit tests and synthetic data fixture</w:t>
            </w:r>
          </w:p>
          <w:p>
            <w:pPr>
              <w:spacing w:before="0" w:after="0"/>
            </w:pPr>
            <w:r>
              <w:rPr>
                <w:rFonts w:ascii="Consolas" w:hAnsi="Consolas"/>
                <w:color w:val="1E1E1E"/>
                <w:sz w:val="16"/>
              </w:rPr>
              <w:t>├── notebooks/                   # Jupyter notebooks (01_eda, 02_training, 03_inference)</w:t>
            </w:r>
          </w:p>
          <w:p>
            <w:pPr>
              <w:spacing w:before="0" w:after="0"/>
            </w:pPr>
            <w:r>
              <w:rPr>
                <w:rFonts w:ascii="Consolas" w:hAnsi="Consolas"/>
                <w:color w:val="1E1E1E"/>
                <w:sz w:val="16"/>
              </w:rPr>
              <w:t>├── k8s/                         # Kubernetes manifests (deployment, service, hpa)</w:t>
            </w:r>
          </w:p>
          <w:p>
            <w:pPr>
              <w:spacing w:before="0" w:after="0"/>
            </w:pPr>
            <w:r>
              <w:rPr>
                <w:rFonts w:ascii="Consolas" w:hAnsi="Consolas"/>
                <w:color w:val="1E1E1E"/>
                <w:sz w:val="16"/>
              </w:rPr>
              <w:t>├── monitoring/                  # Prometheus and Grafana provisioning configurations</w:t>
            </w:r>
          </w:p>
          <w:p>
            <w:pPr>
              <w:spacing w:before="0" w:after="0"/>
            </w:pPr>
            <w:r>
              <w:rPr>
                <w:rFonts w:ascii="Consolas" w:hAnsi="Consolas"/>
                <w:color w:val="1E1E1E"/>
                <w:sz w:val="16"/>
              </w:rPr>
              <w:t>├── screenshots/                 # Visual evidence suite for submission verification</w:t>
            </w:r>
          </w:p>
          <w:p>
            <w:pPr>
              <w:spacing w:before="0" w:after="0"/>
            </w:pPr>
            <w:r>
              <w:rPr>
                <w:rFonts w:ascii="Consolas" w:hAnsi="Consolas"/>
                <w:color w:val="1E1E1E"/>
                <w:sz w:val="16"/>
              </w:rPr>
              <w:t>├── Dockerfile &amp; docker-compose  # Containerization &amp; local observability stack</w:t>
            </w:r>
          </w:p>
          <w:p>
            <w:pPr>
              <w:spacing w:before="0" w:after="0"/>
            </w:pPr>
            <w:r>
              <w:rPr>
                <w:rFonts w:ascii="Consolas" w:hAnsi="Consolas"/>
                <w:color w:val="1E1E1E"/>
                <w:sz w:val="16"/>
              </w:rPr>
              <w:t>└── requirements.txt             # Pinned dependencies for reproducible execution</w:t>
            </w:r>
          </w:p>
        </w:tc>
      </w:tr>
    </w:tbl>
    <w:p>
      <w:pPr>
        <w:spacing w:before="20" w:after="40"/>
      </w:pPr>
    </w:p>
    <w:p>
      <w:pPr>
        <w:pStyle w:val="Heading1"/>
        <w:keepNext/>
        <w:spacing w:before="220" w:after="60"/>
      </w:pPr>
      <w:r>
        <w:rPr>
          <w:b/>
          <w:color w:val="1B365D"/>
          <w:sz w:val="26"/>
        </w:rPr>
        <w:t>Appendix B: Pipeline Demonstration Video</w:t>
      </w:r>
    </w:p>
    <w:p>
      <w:pPr>
        <w:spacing w:before="0" w:after="60" w:line="269" w:lineRule="auto"/>
      </w:pPr>
      <w:r>
        <w:rPr>
          <w:b/>
          <w:color w:val="1B365D"/>
        </w:rPr>
        <w:t xml:space="preserve">Video Demonstration Link: </w:t>
      </w:r>
      <w:r>
        <w:rPr>
          <w:color w:val="232323"/>
          <w:sz w:val="19"/>
        </w:rPr>
        <w:t>A recorded video walkthrough demonstrates the complete MLOps workflow from repository structure to live monitoring.</w:t>
      </w:r>
    </w:p>
    <w:tbl>
      <w:tblPr>
        <w:tblW w:type="auto" w:w="0"/>
        <w:jc w:val="center"/>
        <w:tblLook w:firstColumn="1" w:firstRow="1" w:lastColumn="0" w:lastRow="0" w:noHBand="0" w:noVBand="1" w:val="04A0"/>
      </w:tblPr>
      <w:tblGrid>
        <w:gridCol w:w="9749"/>
      </w:tblGrid>
      <w:tr>
        <w:tc>
          <w:tcPr>
            <w:tcW w:type="dxa" w:w="9360"/>
            <w:shd w:fill="EBF3FB"/>
            <w:tcMar>
              <w:top w:w="90" w:type="dxa"/>
              <w:bottom w:w="90" w:type="dxa"/>
              <w:left w:w="140" w:type="dxa"/>
              <w:right w:w="140" w:type="dxa"/>
            </w:tcMar>
            <w:tcBorders>
              <w:left w:val="single" w:sz="20" w:space="0" w:color="0066CC"/>
              <w:top w:val="single" w:sz="4" w:space="0" w:color="D0D7DE"/>
              <w:bottom w:val="single" w:sz="4" w:space="0" w:color="D0D7DE"/>
              <w:right w:val="single" w:sz="4" w:space="0" w:color="D0D7DE"/>
            </w:tcBorders>
          </w:tcPr>
          <w:p>
            <w:pPr>
              <w:spacing w:before="20" w:after="60"/>
            </w:pPr>
            <w:r>
              <w:rPr>
                <w:b/>
                <w:color w:val="1B365D"/>
                <w:sz w:val="18"/>
              </w:rPr>
              <w:t>■ VIDEO WALKTHROUGH ACCESS &amp; SUBMISSION LINK</w:t>
            </w:r>
          </w:p>
          <w:p>
            <w:pPr>
              <w:spacing w:before="0" w:after="0"/>
            </w:pPr>
            <w:r>
              <w:rPr>
                <w:rFonts w:ascii="Consolas" w:hAnsi="Consolas"/>
                <w:color w:val="1E1E1E"/>
                <w:sz w:val="16"/>
              </w:rPr>
              <w:t>Video URL: [PASTE_YOUR_VIDEO_LINK_HERE: e.g., https://youtu.be/xxxx or Google Drive link]</w:t>
            </w:r>
          </w:p>
          <w:p>
            <w:pPr>
              <w:spacing w:before="0" w:after="0"/>
            </w:pPr>
            <w:r>
              <w:rPr>
                <w:rFonts w:ascii="Consolas" w:hAnsi="Consolas"/>
                <w:color w:val="1E1E1E"/>
                <w:sz w:val="16"/>
              </w:rPr>
            </w:r>
          </w:p>
          <w:p>
            <w:pPr>
              <w:spacing w:before="0" w:after="0"/>
            </w:pPr>
            <w:r>
              <w:rPr>
                <w:rFonts w:ascii="Consolas" w:hAnsi="Consolas"/>
                <w:color w:val="1E1E1E"/>
                <w:sz w:val="16"/>
              </w:rPr>
              <w:t>Access Permissions: Set to 'Unlisted' on YouTube or 'Anyone with the link can view' on Drive.</w:t>
            </w:r>
          </w:p>
          <w:p>
            <w:pPr>
              <w:spacing w:before="0" w:after="0"/>
            </w:pPr>
            <w:r>
              <w:rPr>
                <w:rFonts w:ascii="Consolas" w:hAnsi="Consolas"/>
                <w:color w:val="1E1E1E"/>
                <w:sz w:val="16"/>
              </w:rPr>
              <w:t>Demonstration Duration: Approximately 4 minutes.</w:t>
            </w:r>
          </w:p>
          <w:p>
            <w:pPr>
              <w:spacing w:before="0" w:after="0"/>
            </w:pPr>
            <w:r>
              <w:rPr>
                <w:rFonts w:ascii="Consolas" w:hAnsi="Consolas"/>
                <w:color w:val="1E1E1E"/>
                <w:sz w:val="16"/>
              </w:rPr>
              <w:t>Key Demonstrations Covered:</w:t>
            </w:r>
          </w:p>
          <w:p>
            <w:pPr>
              <w:spacing w:before="0" w:after="0"/>
            </w:pPr>
            <w:r>
              <w:rPr>
                <w:rFonts w:ascii="Consolas" w:hAnsi="Consolas"/>
                <w:color w:val="1E1E1E"/>
                <w:sz w:val="16"/>
              </w:rPr>
              <w:t xml:space="preserve">  - 0:00 - 0:45 : Repository structure, modular code design, and environment setup.</w:t>
            </w:r>
          </w:p>
          <w:p>
            <w:pPr>
              <w:spacing w:before="0" w:after="0"/>
            </w:pPr>
            <w:r>
              <w:rPr>
                <w:rFonts w:ascii="Consolas" w:hAnsi="Consolas"/>
                <w:color w:val="1E1E1E"/>
                <w:sz w:val="16"/>
              </w:rPr>
              <w:t xml:space="preserve">  - 0:45 - 1:30 : GitHub Actions CI/CD pipeline run with all 4 jobs green (lint, test, train, docker).</w:t>
            </w:r>
          </w:p>
          <w:p>
            <w:pPr>
              <w:spacing w:before="0" w:after="0"/>
            </w:pPr>
            <w:r>
              <w:rPr>
                <w:rFonts w:ascii="Consolas" w:hAnsi="Consolas"/>
                <w:color w:val="1E1E1E"/>
                <w:sz w:val="16"/>
              </w:rPr>
              <w:t xml:space="preserve">  - 1:30 - 2:15 : MLflow Tracking UI demonstrating candidate model runs and champion selection.</w:t>
            </w:r>
          </w:p>
          <w:p>
            <w:pPr>
              <w:spacing w:before="0" w:after="0"/>
            </w:pPr>
            <w:r>
              <w:rPr>
                <w:rFonts w:ascii="Consolas" w:hAnsi="Consolas"/>
                <w:color w:val="1E1E1E"/>
                <w:sz w:val="16"/>
              </w:rPr>
              <w:t xml:space="preserve">  - 2:15 - 3:00 : Docker container execution and /predict inference verification.</w:t>
            </w:r>
          </w:p>
          <w:p>
            <w:pPr>
              <w:spacing w:before="0" w:after="0"/>
            </w:pPr>
            <w:r>
              <w:rPr>
                <w:rFonts w:ascii="Consolas" w:hAnsi="Consolas"/>
                <w:color w:val="1E1E1E"/>
                <w:sz w:val="16"/>
              </w:rPr>
              <w:t xml:space="preserve">  - 3:00 - 4:00 : Real-time Grafana monitoring dashboard under active synthetic load.</w:t>
            </w:r>
          </w:p>
        </w:tc>
      </w:tr>
    </w:tbl>
    <w:p>
      <w:pPr>
        <w:spacing w:before="20" w:after="40"/>
      </w:pPr>
    </w:p>
    <w:p>
      <w:pPr>
        <w:pStyle w:val="Heading1"/>
        <w:keepNext/>
        <w:spacing w:before="220" w:after="60"/>
      </w:pPr>
      <w:r>
        <w:rPr>
          <w:b/>
          <w:color w:val="1B365D"/>
          <w:sz w:val="26"/>
        </w:rPr>
        <w:t>References</w:t>
      </w:r>
    </w:p>
    <w:p>
      <w:pPr>
        <w:spacing w:before="20" w:after="40" w:line="269" w:lineRule="auto"/>
        <w:ind w:left="576" w:hanging="576"/>
      </w:pPr>
      <w:r>
        <w:rPr>
          <w:color w:val="282828"/>
          <w:sz w:val="17"/>
        </w:rPr>
        <w:t>Detrano, R., Janosi, A., Steinbrunn, W., Pfisterer, M., Schmid, J., Sandhu, S., Guppy, K., Lee, S., &amp; Froelicher, V. (1989). International application of a new probability algorithm for the diagnosis of coronary artery disease. The American Journal of Cardiology, 64(5), 304–310.</w:t>
      </w:r>
    </w:p>
    <w:p>
      <w:pPr>
        <w:spacing w:before="20" w:after="40" w:line="269" w:lineRule="auto"/>
        <w:ind w:left="576" w:hanging="576"/>
      </w:pPr>
      <w:r>
        <w:rPr>
          <w:color w:val="282828"/>
          <w:sz w:val="17"/>
        </w:rPr>
        <w:t>Dua, D., &amp; Graff, C. (2019). UCI Machine Learning Repository: Heart Disease Data Set. University of California, Irvine, School of Information and Computer Sciences. https://archive.ics.uci.edu/ml/datasets/Heart+Disease</w:t>
      </w:r>
    </w:p>
    <w:p>
      <w:pPr>
        <w:spacing w:before="20" w:after="40" w:line="269" w:lineRule="auto"/>
        <w:ind w:left="576" w:hanging="576"/>
      </w:pPr>
      <w:r>
        <w:rPr>
          <w:color w:val="282828"/>
          <w:sz w:val="17"/>
        </w:rPr>
        <w:t>Janosi, A., Steinbrunn, W., Pfisterer, M., &amp; Detrano, R. (1989). Heart Disease Database (Cleveland Clinic Foundation). UCI Machine Learning Repository.</w:t>
      </w:r>
    </w:p>
    <w:p>
      <w:pPr>
        <w:spacing w:before="20" w:after="40" w:line="269" w:lineRule="auto"/>
        <w:ind w:left="576" w:hanging="576"/>
      </w:pPr>
      <w:r>
        <w:rPr>
          <w:color w:val="282828"/>
          <w:sz w:val="17"/>
        </w:rPr>
        <w:t>Kubernetes Authors. (2024). Kubernetes: Production-Grade Container Orchestration (Version 1.30). Cloud Native Computing Foundation. https://kubernetes.io/docs/</w:t>
      </w:r>
    </w:p>
    <w:p>
      <w:pPr>
        <w:spacing w:before="20" w:after="40" w:line="269" w:lineRule="auto"/>
        <w:ind w:left="576" w:hanging="576"/>
      </w:pPr>
      <w:r>
        <w:rPr>
          <w:color w:val="282828"/>
          <w:sz w:val="17"/>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before="20" w:after="40" w:line="269" w:lineRule="auto"/>
        <w:ind w:left="576" w:hanging="576"/>
      </w:pPr>
      <w:r>
        <w:rPr>
          <w:color w:val="282828"/>
          <w:sz w:val="17"/>
        </w:rPr>
        <w:t>Prometheus Authors. (2024). Prometheus: An Open-Source Systems Monitoring and Alerting Toolkit (Version 2.54). Cloud Native Computing Foundation. https://prometheus.io/docs/</w:t>
      </w:r>
    </w:p>
    <w:p>
      <w:pPr>
        <w:spacing w:before="20" w:after="40" w:line="269" w:lineRule="auto"/>
        <w:ind w:left="576" w:hanging="576"/>
      </w:pPr>
      <w:r>
        <w:rPr>
          <w:color w:val="282828"/>
          <w:sz w:val="17"/>
        </w:rPr>
        <w:t>Tiangolo, S. (2024). FastAPI: Modern, Fast (High-Performance), Web Framework for Building APIs with Python 3.8+ (Version 0.115). https://fastapi.tiangolo.com/</w:t>
      </w:r>
    </w:p>
    <w:p>
      <w:pPr>
        <w:spacing w:before="20" w:after="40" w:line="269" w:lineRule="auto"/>
        <w:ind w:left="576" w:hanging="576"/>
      </w:pPr>
      <w:r>
        <w:rPr>
          <w:color w:val="282828"/>
          <w:sz w:val="17"/>
        </w:rPr>
        <w:t>World Health Organization. (2021). Cardiovascular diseases (CVDs) Fact Sheet. World Health Organization. https://www.who.int/news-room/fact-sheets/detail/cardiovascular-diseases-(cvds)</w:t>
      </w:r>
    </w:p>
    <w:p>
      <w:pPr>
        <w:spacing w:before="20" w:after="40" w:line="269" w:lineRule="auto"/>
        <w:ind w:left="576" w:hanging="576"/>
      </w:pPr>
      <w:r>
        <w:rPr>
          <w:color w:val="282828"/>
          <w:sz w:val="17"/>
        </w:rPr>
        <w:t>Zaharia, M., Chen, A., Davidson, A., Ghodsi, A., Hong, S. A., Konwinski, A., Murching, S., Nykodym, T., Ogilvie, P., Parkhe, M., Xie, F., &amp; Zumar, C. (2018). Accelerating the machine learning lifecycle with MLflow. IEEE Data Engineering Bulletin, 41(4), 39–45.</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