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B365D"/>
          <w:sz w:val="38"/>
        </w:rPr>
        <w:t>End-to-End MLOps Pipeline for Heart Disease Risk Prediction</w:t>
      </w:r>
    </w:p>
    <w:p>
      <w:pPr>
        <w:spacing w:before="0" w:after="160"/>
        <w:jc w:val="center"/>
      </w:pPr>
      <w:r>
        <w:rPr>
          <w:b/>
          <w:color w:val="464646"/>
          <w:sz w:val="22"/>
        </w:rPr>
        <w:t>Machine Learning Operations (AIMLCZG523) — Assignment 01 Report (Total Marks: 50)</w:t>
      </w:r>
    </w:p>
    <w:tbl>
      <w:tblPr>
        <w:tblW w:type="auto" w:w="0"/>
        <w:jc w:val="center"/>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4658"/>
        <w:gridCol w:w="4658"/>
      </w:tblGrid>
      <w:tr>
        <w:tc>
          <w:tcPr>
            <w:tcW w:type="dxa" w:w="4608"/>
            <w:shd w:fill="F4F7FA"/>
            <w:tcMar>
              <w:top w:w="60" w:type="dxa"/>
              <w:bottom w:w="60" w:type="dxa"/>
              <w:left w:w="100" w:type="dxa"/>
              <w:right w:w="100" w:type="dxa"/>
            </w:tcMar>
          </w:tcPr>
          <w:p>
            <w:pPr>
              <w:spacing w:before="0" w:after="0"/>
            </w:pPr>
            <w:r>
              <w:rPr>
                <w:b/>
                <w:color w:val="1B365D"/>
                <w:sz w:val="18"/>
              </w:rPr>
              <w:t>Student Name: Mohanapriya M</w:t>
            </w:r>
          </w:p>
        </w:tc>
        <w:tc>
          <w:tcPr>
            <w:tcW w:type="dxa" w:w="4752"/>
            <w:shd w:fill="F4F7FA"/>
            <w:tcMar>
              <w:top w:w="60" w:type="dxa"/>
              <w:bottom w:w="60" w:type="dxa"/>
              <w:left w:w="100" w:type="dxa"/>
              <w:right w:w="100" w:type="dxa"/>
            </w:tcMar>
          </w:tcPr>
          <w:p>
            <w:pPr>
              <w:spacing w:before="0" w:after="0"/>
            </w:pPr>
            <w:r>
              <w:rPr>
                <w:b/>
                <w:color w:val="1B365D"/>
                <w:sz w:val="18"/>
              </w:rPr>
              <w:t>Student ID: 2025AE05482</w:t>
            </w:r>
          </w:p>
        </w:tc>
      </w:tr>
      <w:tr>
        <w:tc>
          <w:tcPr>
            <w:tcW w:type="dxa" w:w="4608"/>
            <w:shd w:fill="F4F7FA"/>
            <w:tcMar>
              <w:top w:w="60" w:type="dxa"/>
              <w:bottom w:w="60" w:type="dxa"/>
              <w:left w:w="100" w:type="dxa"/>
              <w:right w:w="100" w:type="dxa"/>
            </w:tcMar>
          </w:tcPr>
          <w:p>
            <w:pPr>
              <w:spacing w:before="0" w:after="0"/>
            </w:pPr>
            <w:r>
              <w:rPr>
                <w:b/>
                <w:color w:val="1B365D"/>
                <w:sz w:val="18"/>
              </w:rPr>
              <w:t>Course: AIMLCZG523 (MLOps)</w:t>
            </w:r>
          </w:p>
        </w:tc>
        <w:tc>
          <w:tcPr>
            <w:tcW w:type="dxa" w:w="4752"/>
            <w:shd w:fill="F4F7FA"/>
            <w:tcMar>
              <w:top w:w="60" w:type="dxa"/>
              <w:bottom w:w="60" w:type="dxa"/>
              <w:left w:w="100" w:type="dxa"/>
              <w:right w:w="100" w:type="dxa"/>
            </w:tcMar>
          </w:tcPr>
          <w:p>
            <w:pPr>
              <w:spacing w:before="0" w:after="0"/>
            </w:pPr>
            <w:r>
              <w:rPr>
                <w:b/>
                <w:color w:val="1B365D"/>
                <w:sz w:val="18"/>
              </w:rPr>
              <w:t>Repository: https://github.com/Mohana1507/heart-disease-mlops</w:t>
            </w:r>
          </w:p>
        </w:tc>
      </w:tr>
    </w:tbl>
    <w:p>
      <w:pPr>
        <w:spacing w:before="80" w:after="120"/>
      </w:pPr>
    </w:p>
    <w:p>
      <w:pPr>
        <w:pStyle w:val="Heading1"/>
        <w:keepNext/>
        <w:spacing w:before="280" w:after="80"/>
      </w:pPr>
      <w:r>
        <w:rPr>
          <w:b/>
          <w:color w:val="1B365D"/>
          <w:sz w:val="30"/>
        </w:rPr>
        <w:t>1. Introduction and Scope</w:t>
      </w:r>
    </w:p>
    <w:p>
      <w:pPr>
        <w:spacing w:before="0" w:after="80" w:line="276" w:lineRule="auto"/>
      </w:pPr>
      <w:r>
        <w:rPr>
          <w:color w:val="232323"/>
          <w:sz w:val="20"/>
        </w:rPr>
        <w:t>Cardiovascular diseases represent the leading cause of global mortality, accounting for approximately 17.9 million deaths annually according to the World Health Organization. Early, automated risk stratification derived from routine clinical diagnostics—such as resting blood pressure, serum cholesterol, electrocardiographic anomalies, and exercise treadmill tests—enables clinical practitioners to prioritize urgent medical intervention, non-invasive imaging, or cardiac catheterization. While academic literature has explored diverse predictive algorithms on medical benchmarks, the fundamental challenge in contemporary clinical AI lies not merely in maximizing raw benchmark accuracy, but in engineering a reliable, reproducible, and verifiable Machine Learning Operations (MLOps) lifecycle.</w:t>
      </w:r>
    </w:p>
    <w:p>
      <w:pPr>
        <w:spacing w:before="0" w:after="80" w:line="276" w:lineRule="auto"/>
      </w:pPr>
      <w:r>
        <w:rPr>
          <w:color w:val="232323"/>
          <w:sz w:val="20"/>
        </w:rPr>
        <w:t>This project establishes an industrial-grade, end-to-end MLOps pipeline for heart disease risk classification utilizing the canonical UCI Cleveland Heart Disease dataset (Detrano et al., 1989; Dua &amp; Graff, 2019). The primary objective is to implement production engineering rigor across the complete machine learning lifecycle: automated data ingestion and cleaning without leakage, exploratory data analysis, hyperparameter-tuned candidate model development evaluated via nested cross-validation, experiment tracking and artifact logging with MLflow, containerized low-latency serving via FastAPI, declarative Kubernetes orchestration with health probes and autoscaling, Prometheus/Grafana real-time observability, and automated multi-stage CI/CD verification via GitHub Actions.</w:t>
      </w:r>
    </w:p>
    <w:p>
      <w:pPr>
        <w:spacing w:before="0" w:after="80" w:line="276" w:lineRule="auto"/>
      </w:pPr>
      <w:r>
        <w:rPr>
          <w:b/>
          <w:color w:val="1B365D"/>
        </w:rPr>
        <w:t xml:space="preserve">Implementation Mapping: </w:t>
      </w:r>
      <w:r>
        <w:rPr>
          <w:color w:val="232323"/>
          <w:sz w:val="20"/>
        </w:rPr>
        <w:t>Table 1 summarizes the mapping between the assignment requirements and the concrete repository artifacts.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06"/>
        <w:gridCol w:w="3106"/>
        <w:gridCol w:w="3106"/>
      </w:tblGrid>
      <w:tr>
        <w:tc>
          <w:tcPr>
            <w:tcW w:type="dxa" w:w="2592"/>
            <w:shd w:fill="1B365D"/>
            <w:tcMar>
              <w:top w:w="120" w:type="dxa"/>
              <w:bottom w:w="120" w:type="dxa"/>
              <w:left w:w="140" w:type="dxa"/>
              <w:right w:w="140" w:type="dxa"/>
            </w:tcMar>
          </w:tcPr>
          <w:p>
            <w:pPr>
              <w:spacing w:before="0" w:after="0"/>
            </w:pPr>
            <w:r>
              <w:rPr>
                <w:b/>
                <w:color w:val="FFFFFF"/>
                <w:sz w:val="19"/>
              </w:rPr>
              <w:t>Assignment Task</w:t>
            </w:r>
          </w:p>
        </w:tc>
        <w:tc>
          <w:tcPr>
            <w:tcW w:type="dxa" w:w="3744"/>
            <w:shd w:fill="1B365D"/>
            <w:tcMar>
              <w:top w:w="120" w:type="dxa"/>
              <w:bottom w:w="120" w:type="dxa"/>
              <w:left w:w="140" w:type="dxa"/>
              <w:right w:w="140" w:type="dxa"/>
            </w:tcMar>
          </w:tcPr>
          <w:p>
            <w:pPr>
              <w:spacing w:before="0" w:after="0"/>
            </w:pPr>
            <w:r>
              <w:rPr>
                <w:b/>
                <w:color w:val="FFFFFF"/>
                <w:sz w:val="19"/>
              </w:rPr>
              <w:t>Implementation Summary</w:t>
            </w:r>
          </w:p>
        </w:tc>
        <w:tc>
          <w:tcPr>
            <w:tcW w:type="dxa" w:w="3024"/>
            <w:shd w:fill="1B365D"/>
            <w:tcMar>
              <w:top w:w="120" w:type="dxa"/>
              <w:bottom w:w="120" w:type="dxa"/>
              <w:left w:w="140" w:type="dxa"/>
              <w:right w:w="140" w:type="dxa"/>
            </w:tcMar>
          </w:tcPr>
          <w:p>
            <w:pPr>
              <w:spacing w:before="0" w:after="0"/>
            </w:pPr>
            <w:r>
              <w:rPr>
                <w:b/>
                <w:color w:val="FFFFFF"/>
                <w:sz w:val="19"/>
              </w:rPr>
              <w:t>Repository Artefact</w:t>
            </w:r>
          </w:p>
        </w:tc>
      </w:tr>
      <w:tr>
        <w:tc>
          <w:tcPr>
            <w:tcW w:type="dxa" w:w="2592"/>
            <w:shd w:fill="F7F9FB"/>
            <w:tcMar>
              <w:top w:w="80" w:type="dxa"/>
              <w:bottom w:w="80" w:type="dxa"/>
              <w:left w:w="140" w:type="dxa"/>
              <w:right w:w="140" w:type="dxa"/>
            </w:tcMar>
          </w:tcPr>
          <w:p>
            <w:pPr>
              <w:spacing w:before="0" w:after="0"/>
            </w:pPr>
            <w:r>
              <w:rPr>
                <w:color w:val="282828"/>
                <w:sz w:val="18"/>
              </w:rPr>
              <w:t>1. Data &amp; EDA [5 marks]</w:t>
            </w:r>
          </w:p>
        </w:tc>
        <w:tc>
          <w:tcPr>
            <w:tcW w:type="dxa" w:w="3744"/>
            <w:shd w:fill="F7F9FB"/>
            <w:tcMar>
              <w:top w:w="80" w:type="dxa"/>
              <w:bottom w:w="80" w:type="dxa"/>
              <w:left w:w="140" w:type="dxa"/>
              <w:right w:w="140" w:type="dxa"/>
            </w:tcMar>
          </w:tcPr>
          <w:p>
            <w:pPr>
              <w:spacing w:before="0" w:after="0"/>
            </w:pPr>
            <w:r>
              <w:rPr>
                <w:color w:val="282828"/>
                <w:sz w:val="18"/>
              </w:rPr>
              <w:t>Automated download, NaN handling, target binarization, 5 diagnostic figures &amp; summary text.</w:t>
            </w:r>
          </w:p>
        </w:tc>
        <w:tc>
          <w:tcPr>
            <w:tcW w:type="dxa" w:w="3024"/>
            <w:shd w:fill="F7F9FB"/>
            <w:tcMar>
              <w:top w:w="80" w:type="dxa"/>
              <w:bottom w:w="80" w:type="dxa"/>
              <w:left w:w="140" w:type="dxa"/>
              <w:right w:w="140" w:type="dxa"/>
            </w:tcMar>
          </w:tcPr>
          <w:p>
            <w:pPr>
              <w:spacing w:before="0" w:after="0"/>
            </w:pPr>
            <w:r>
              <w:rPr>
                <w:color w:val="282828"/>
                <w:sz w:val="18"/>
              </w:rPr>
              <w:t>scripts/download_data.py, src/heart/data.py, src/heart/eda.py</w:t>
            </w:r>
          </w:p>
        </w:tc>
      </w:tr>
      <w:tr>
        <w:tc>
          <w:tcPr>
            <w:tcW w:type="dxa" w:w="2592"/>
            <w:shd w:fill="FFFFFF"/>
            <w:tcMar>
              <w:top w:w="80" w:type="dxa"/>
              <w:bottom w:w="80" w:type="dxa"/>
              <w:left w:w="140" w:type="dxa"/>
              <w:right w:w="140" w:type="dxa"/>
            </w:tcMar>
          </w:tcPr>
          <w:p>
            <w:pPr>
              <w:spacing w:before="0" w:after="0"/>
            </w:pPr>
            <w:r>
              <w:rPr>
                <w:color w:val="282828"/>
                <w:sz w:val="18"/>
              </w:rPr>
              <w:t>2. Modelling [8 marks]</w:t>
            </w:r>
          </w:p>
        </w:tc>
        <w:tc>
          <w:tcPr>
            <w:tcW w:type="dxa" w:w="3744"/>
            <w:shd w:fill="FFFFFF"/>
            <w:tcMar>
              <w:top w:w="80" w:type="dxa"/>
              <w:bottom w:w="80" w:type="dxa"/>
              <w:left w:w="140" w:type="dxa"/>
              <w:right w:w="140" w:type="dxa"/>
            </w:tcMar>
          </w:tcPr>
          <w:p>
            <w:pPr>
              <w:spacing w:before="0" w:after="0"/>
            </w:pPr>
            <w:r>
              <w:rPr>
                <w:color w:val="282828"/>
                <w:sz w:val="18"/>
              </w:rPr>
              <w:t>Preprocessing ColumnTransformer, 3 tuned classifiers (LR, RF, GB), nested CV (5 outer, 3 inner).</w:t>
            </w:r>
          </w:p>
        </w:tc>
        <w:tc>
          <w:tcPr>
            <w:tcW w:type="dxa" w:w="3024"/>
            <w:shd w:fill="FFFFFF"/>
            <w:tcMar>
              <w:top w:w="80" w:type="dxa"/>
              <w:bottom w:w="80" w:type="dxa"/>
              <w:left w:w="140" w:type="dxa"/>
              <w:right w:w="140" w:type="dxa"/>
            </w:tcMar>
          </w:tcPr>
          <w:p>
            <w:pPr>
              <w:spacing w:before="0" w:after="0"/>
            </w:pPr>
            <w:r>
              <w:rPr>
                <w:color w:val="282828"/>
                <w:sz w:val="18"/>
              </w:rPr>
              <w:t>src/heart/features.py, src/heart/modeling.py</w:t>
            </w:r>
          </w:p>
        </w:tc>
      </w:tr>
      <w:tr>
        <w:tc>
          <w:tcPr>
            <w:tcW w:type="dxa" w:w="2592"/>
            <w:shd w:fill="F7F9FB"/>
            <w:tcMar>
              <w:top w:w="80" w:type="dxa"/>
              <w:bottom w:w="80" w:type="dxa"/>
              <w:left w:w="140" w:type="dxa"/>
              <w:right w:w="140" w:type="dxa"/>
            </w:tcMar>
          </w:tcPr>
          <w:p>
            <w:pPr>
              <w:spacing w:before="0" w:after="0"/>
            </w:pPr>
            <w:r>
              <w:rPr>
                <w:color w:val="282828"/>
                <w:sz w:val="18"/>
              </w:rPr>
              <w:t>3. Tracking [5 marks]</w:t>
            </w:r>
          </w:p>
        </w:tc>
        <w:tc>
          <w:tcPr>
            <w:tcW w:type="dxa" w:w="3744"/>
            <w:shd w:fill="F7F9FB"/>
            <w:tcMar>
              <w:top w:w="80" w:type="dxa"/>
              <w:bottom w:w="80" w:type="dxa"/>
              <w:left w:w="140" w:type="dxa"/>
              <w:right w:w="140" w:type="dxa"/>
            </w:tcMar>
          </w:tcPr>
          <w:p>
            <w:pPr>
              <w:spacing w:before="0" w:after="0"/>
            </w:pPr>
            <w:r>
              <w:rPr>
                <w:color w:val="282828"/>
                <w:sz w:val="18"/>
              </w:rPr>
              <w:t>MLflow tracking of parameters, metrics, artifacts, ROC curves, confusion matrices, and signatures.</w:t>
            </w:r>
          </w:p>
        </w:tc>
        <w:tc>
          <w:tcPr>
            <w:tcW w:type="dxa" w:w="3024"/>
            <w:shd w:fill="F7F9FB"/>
            <w:tcMar>
              <w:top w:w="80" w:type="dxa"/>
              <w:bottom w:w="80" w:type="dxa"/>
              <w:left w:w="140" w:type="dxa"/>
              <w:right w:w="140" w:type="dxa"/>
            </w:tcMar>
          </w:tcPr>
          <w:p>
            <w:pPr>
              <w:spacing w:before="0" w:after="0"/>
            </w:pPr>
            <w:r>
              <w:rPr>
                <w:color w:val="282828"/>
                <w:sz w:val="18"/>
              </w:rPr>
              <w:t>src/heart/train.py, mlruns/</w:t>
            </w:r>
          </w:p>
        </w:tc>
      </w:tr>
      <w:tr>
        <w:tc>
          <w:tcPr>
            <w:tcW w:type="dxa" w:w="2592"/>
            <w:shd w:fill="FFFFFF"/>
            <w:tcMar>
              <w:top w:w="80" w:type="dxa"/>
              <w:bottom w:w="80" w:type="dxa"/>
              <w:left w:w="140" w:type="dxa"/>
              <w:right w:w="140" w:type="dxa"/>
            </w:tcMar>
          </w:tcPr>
          <w:p>
            <w:pPr>
              <w:spacing w:before="0" w:after="0"/>
            </w:pPr>
            <w:r>
              <w:rPr>
                <w:color w:val="282828"/>
                <w:sz w:val="18"/>
              </w:rPr>
              <w:t>4. Packaging [7 marks]</w:t>
            </w:r>
          </w:p>
        </w:tc>
        <w:tc>
          <w:tcPr>
            <w:tcW w:type="dxa" w:w="3744"/>
            <w:shd w:fill="FFFFFF"/>
            <w:tcMar>
              <w:top w:w="80" w:type="dxa"/>
              <w:bottom w:w="80" w:type="dxa"/>
              <w:left w:w="140" w:type="dxa"/>
              <w:right w:w="140" w:type="dxa"/>
            </w:tcMar>
          </w:tcPr>
          <w:p>
            <w:pPr>
              <w:spacing w:before="0" w:after="0"/>
            </w:pPr>
            <w:r>
              <w:rPr>
                <w:color w:val="282828"/>
                <w:sz w:val="18"/>
              </w:rPr>
              <w:t>End-to-end Pipeline serialization via joblib, companion metadata.json, pinned requirements.</w:t>
            </w:r>
          </w:p>
        </w:tc>
        <w:tc>
          <w:tcPr>
            <w:tcW w:type="dxa" w:w="3024"/>
            <w:shd w:fill="FFFFFF"/>
            <w:tcMar>
              <w:top w:w="80" w:type="dxa"/>
              <w:bottom w:w="80" w:type="dxa"/>
              <w:left w:w="140" w:type="dxa"/>
              <w:right w:w="140" w:type="dxa"/>
            </w:tcMar>
          </w:tcPr>
          <w:p>
            <w:pPr>
              <w:spacing w:before="0" w:after="0"/>
            </w:pPr>
            <w:r>
              <w:rPr>
                <w:color w:val="282828"/>
                <w:sz w:val="18"/>
              </w:rPr>
              <w:t>models/model.joblib, models/metadata.json, requirements.txt</w:t>
            </w:r>
          </w:p>
        </w:tc>
      </w:tr>
      <w:tr>
        <w:tc>
          <w:tcPr>
            <w:tcW w:type="dxa" w:w="2592"/>
            <w:shd w:fill="F7F9FB"/>
            <w:tcMar>
              <w:top w:w="80" w:type="dxa"/>
              <w:bottom w:w="80" w:type="dxa"/>
              <w:left w:w="140" w:type="dxa"/>
              <w:right w:w="140" w:type="dxa"/>
            </w:tcMar>
          </w:tcPr>
          <w:p>
            <w:pPr>
              <w:spacing w:before="0" w:after="0"/>
            </w:pPr>
            <w:r>
              <w:rPr>
                <w:color w:val="282828"/>
                <w:sz w:val="18"/>
              </w:rPr>
              <w:t>5. CI/CD &amp; Testing [8 marks]</w:t>
            </w:r>
          </w:p>
        </w:tc>
        <w:tc>
          <w:tcPr>
            <w:tcW w:type="dxa" w:w="3744"/>
            <w:shd w:fill="F7F9FB"/>
            <w:tcMar>
              <w:top w:w="80" w:type="dxa"/>
              <w:bottom w:w="80" w:type="dxa"/>
              <w:left w:w="140" w:type="dxa"/>
              <w:right w:w="140" w:type="dxa"/>
            </w:tcMar>
          </w:tcPr>
          <w:p>
            <w:pPr>
              <w:spacing w:before="0" w:after="0"/>
            </w:pPr>
            <w:r>
              <w:rPr>
                <w:color w:val="282828"/>
                <w:sz w:val="18"/>
              </w:rPr>
              <w:t>21 offline pytest unit tests (synthetic data), 4-stage GitHub Actions workflow (lint, test, train, docker).</w:t>
            </w:r>
          </w:p>
        </w:tc>
        <w:tc>
          <w:tcPr>
            <w:tcW w:type="dxa" w:w="3024"/>
            <w:shd w:fill="F7F9FB"/>
            <w:tcMar>
              <w:top w:w="80" w:type="dxa"/>
              <w:bottom w:w="80" w:type="dxa"/>
              <w:left w:w="140" w:type="dxa"/>
              <w:right w:w="140" w:type="dxa"/>
            </w:tcMar>
          </w:tcPr>
          <w:p>
            <w:pPr>
              <w:spacing w:before="0" w:after="0"/>
            </w:pPr>
            <w:r>
              <w:rPr>
                <w:color w:val="282828"/>
                <w:sz w:val="18"/>
              </w:rPr>
              <w:t>tests/, .github/workflows/ci.yml</w:t>
            </w:r>
          </w:p>
        </w:tc>
      </w:tr>
      <w:tr>
        <w:tc>
          <w:tcPr>
            <w:tcW w:type="dxa" w:w="2592"/>
            <w:shd w:fill="FFFFFF"/>
            <w:tcMar>
              <w:top w:w="80" w:type="dxa"/>
              <w:bottom w:w="80" w:type="dxa"/>
              <w:left w:w="140" w:type="dxa"/>
              <w:right w:w="140" w:type="dxa"/>
            </w:tcMar>
          </w:tcPr>
          <w:p>
            <w:pPr>
              <w:spacing w:before="0" w:after="0"/>
            </w:pPr>
            <w:r>
              <w:rPr>
                <w:color w:val="282828"/>
                <w:sz w:val="18"/>
              </w:rPr>
              <w:t>6. Containerization [5 marks]</w:t>
            </w:r>
          </w:p>
        </w:tc>
        <w:tc>
          <w:tcPr>
            <w:tcW w:type="dxa" w:w="3744"/>
            <w:shd w:fill="FFFFFF"/>
            <w:tcMar>
              <w:top w:w="80" w:type="dxa"/>
              <w:bottom w:w="80" w:type="dxa"/>
              <w:left w:w="140" w:type="dxa"/>
              <w:right w:w="140" w:type="dxa"/>
            </w:tcMar>
          </w:tcPr>
          <w:p>
            <w:pPr>
              <w:spacing w:before="0" w:after="0"/>
            </w:pPr>
            <w:r>
              <w:rPr>
                <w:color w:val="282828"/>
                <w:sz w:val="18"/>
              </w:rPr>
              <w:t>FastAPI REST API with Pydantic validation, non-root Docker image, container HEALTHCHECK.</w:t>
            </w:r>
          </w:p>
        </w:tc>
        <w:tc>
          <w:tcPr>
            <w:tcW w:type="dxa" w:w="3024"/>
            <w:shd w:fill="FFFFFF"/>
            <w:tcMar>
              <w:top w:w="80" w:type="dxa"/>
              <w:bottom w:w="80" w:type="dxa"/>
              <w:left w:w="140" w:type="dxa"/>
              <w:right w:w="140" w:type="dxa"/>
            </w:tcMar>
          </w:tcPr>
          <w:p>
            <w:pPr>
              <w:spacing w:before="0" w:after="0"/>
            </w:pPr>
            <w:r>
              <w:rPr>
                <w:color w:val="282828"/>
                <w:sz w:val="18"/>
              </w:rPr>
              <w:t>Dockerfile, src/heart/api.py</w:t>
            </w:r>
          </w:p>
        </w:tc>
      </w:tr>
      <w:tr>
        <w:tc>
          <w:tcPr>
            <w:tcW w:type="dxa" w:w="2592"/>
            <w:shd w:fill="F7F9FB"/>
            <w:tcMar>
              <w:top w:w="80" w:type="dxa"/>
              <w:bottom w:w="80" w:type="dxa"/>
              <w:left w:w="140" w:type="dxa"/>
              <w:right w:w="140" w:type="dxa"/>
            </w:tcMar>
          </w:tcPr>
          <w:p>
            <w:pPr>
              <w:spacing w:before="0" w:after="0"/>
            </w:pPr>
            <w:r>
              <w:rPr>
                <w:color w:val="282828"/>
                <w:sz w:val="18"/>
              </w:rPr>
              <w:t>7. Deployment [7 marks]</w:t>
            </w:r>
          </w:p>
        </w:tc>
        <w:tc>
          <w:tcPr>
            <w:tcW w:type="dxa" w:w="3744"/>
            <w:shd w:fill="F7F9FB"/>
            <w:tcMar>
              <w:top w:w="80" w:type="dxa"/>
              <w:bottom w:w="80" w:type="dxa"/>
              <w:left w:w="140" w:type="dxa"/>
              <w:right w:w="140" w:type="dxa"/>
            </w:tcMar>
          </w:tcPr>
          <w:p>
            <w:pPr>
              <w:spacing w:before="0" w:after="0"/>
            </w:pPr>
            <w:r>
              <w:rPr>
                <w:color w:val="282828"/>
                <w:sz w:val="18"/>
              </w:rPr>
              <w:t>Kubernetes Deployment (2 replicas), LoadBalancer Service, optional Ingress and HPA manifests.</w:t>
            </w:r>
          </w:p>
        </w:tc>
        <w:tc>
          <w:tcPr>
            <w:tcW w:type="dxa" w:w="3024"/>
            <w:shd w:fill="F7F9FB"/>
            <w:tcMar>
              <w:top w:w="80" w:type="dxa"/>
              <w:bottom w:w="80" w:type="dxa"/>
              <w:left w:w="140" w:type="dxa"/>
              <w:right w:w="140" w:type="dxa"/>
            </w:tcMar>
          </w:tcPr>
          <w:p>
            <w:pPr>
              <w:spacing w:before="0" w:after="0"/>
            </w:pPr>
            <w:r>
              <w:rPr>
                <w:color w:val="282828"/>
                <w:sz w:val="18"/>
              </w:rPr>
              <w:t>k8s/deployment.yaml, k8s/service.yaml, k8s/ingress.yaml, k8s/hpa.yaml</w:t>
            </w:r>
          </w:p>
        </w:tc>
      </w:tr>
      <w:tr>
        <w:tc>
          <w:tcPr>
            <w:tcW w:type="dxa" w:w="2592"/>
            <w:shd w:fill="FFFFFF"/>
            <w:tcMar>
              <w:top w:w="80" w:type="dxa"/>
              <w:bottom w:w="80" w:type="dxa"/>
              <w:left w:w="140" w:type="dxa"/>
              <w:right w:w="140" w:type="dxa"/>
            </w:tcMar>
          </w:tcPr>
          <w:p>
            <w:pPr>
              <w:spacing w:before="0" w:after="0"/>
            </w:pPr>
            <w:r>
              <w:rPr>
                <w:color w:val="282828"/>
                <w:sz w:val="18"/>
              </w:rPr>
              <w:t>8. Monitoring [3 marks]</w:t>
            </w:r>
          </w:p>
        </w:tc>
        <w:tc>
          <w:tcPr>
            <w:tcW w:type="dxa" w:w="3744"/>
            <w:shd w:fill="FFFFFF"/>
            <w:tcMar>
              <w:top w:w="80" w:type="dxa"/>
              <w:bottom w:w="80" w:type="dxa"/>
              <w:left w:w="140" w:type="dxa"/>
              <w:right w:w="140" w:type="dxa"/>
            </w:tcMar>
          </w:tcPr>
          <w:p>
            <w:pPr>
              <w:spacing w:before="0" w:after="0"/>
            </w:pPr>
            <w:r>
              <w:rPr>
                <w:color w:val="282828"/>
                <w:sz w:val="18"/>
              </w:rPr>
              <w:t>Structured JSON request logging, Prometheus counters/histograms, Grafana production dashboard.</w:t>
            </w:r>
          </w:p>
        </w:tc>
        <w:tc>
          <w:tcPr>
            <w:tcW w:type="dxa" w:w="3024"/>
            <w:shd w:fill="FFFFFF"/>
            <w:tcMar>
              <w:top w:w="80" w:type="dxa"/>
              <w:bottom w:w="80" w:type="dxa"/>
              <w:left w:w="140" w:type="dxa"/>
              <w:right w:w="140" w:type="dxa"/>
            </w:tcMar>
          </w:tcPr>
          <w:p>
            <w:pPr>
              <w:spacing w:before="0" w:after="0"/>
            </w:pPr>
            <w:r>
              <w:rPr>
                <w:color w:val="282828"/>
                <w:sz w:val="18"/>
              </w:rPr>
              <w:t>src/heart/api.py, docker-compose.yml, monitoring/</w:t>
            </w:r>
          </w:p>
        </w:tc>
      </w:tr>
      <w:tr>
        <w:tc>
          <w:tcPr>
            <w:tcW w:type="dxa" w:w="2592"/>
            <w:shd w:fill="F7F9FB"/>
            <w:tcMar>
              <w:top w:w="80" w:type="dxa"/>
              <w:bottom w:w="80" w:type="dxa"/>
              <w:left w:w="140" w:type="dxa"/>
              <w:right w:w="140" w:type="dxa"/>
            </w:tcMar>
          </w:tcPr>
          <w:p>
            <w:pPr>
              <w:spacing w:before="0" w:after="0"/>
            </w:pPr>
            <w:r>
              <w:rPr>
                <w:color w:val="282828"/>
                <w:sz w:val="18"/>
              </w:rPr>
              <w:t>9. Reporting [2 marks]</w:t>
            </w:r>
          </w:p>
        </w:tc>
        <w:tc>
          <w:tcPr>
            <w:tcW w:type="dxa" w:w="3744"/>
            <w:shd w:fill="F7F9FB"/>
            <w:tcMar>
              <w:top w:w="80" w:type="dxa"/>
              <w:bottom w:w="80" w:type="dxa"/>
              <w:left w:w="140" w:type="dxa"/>
              <w:right w:w="140" w:type="dxa"/>
            </w:tcMar>
          </w:tcPr>
          <w:p>
            <w:pPr>
              <w:spacing w:before="0" w:after="0"/>
            </w:pPr>
            <w:r>
              <w:rPr>
                <w:color w:val="282828"/>
                <w:sz w:val="18"/>
              </w:rPr>
              <w:t>Exhaustive technical report, architecture diagrams, verified metrics, execution instructions.</w:t>
            </w:r>
          </w:p>
        </w:tc>
        <w:tc>
          <w:tcPr>
            <w:tcW w:type="dxa" w:w="3024"/>
            <w:shd w:fill="F7F9FB"/>
            <w:tcMar>
              <w:top w:w="80" w:type="dxa"/>
              <w:bottom w:w="80" w:type="dxa"/>
              <w:left w:w="140" w:type="dxa"/>
              <w:right w:w="140" w:type="dxa"/>
            </w:tcMar>
          </w:tcPr>
          <w:p>
            <w:pPr>
              <w:spacing w:before="0" w:after="0"/>
            </w:pPr>
            <w:r>
              <w:rPr>
                <w:color w:val="282828"/>
                <w:sz w:val="18"/>
              </w:rPr>
              <w:t>MLOps_Report.docx, README.md, docs/architecture.png</w:t>
            </w:r>
          </w:p>
        </w:tc>
      </w:tr>
    </w:tbl>
    <w:p>
      <w:pPr>
        <w:spacing w:before="80" w:after="80"/>
      </w:pPr>
    </w:p>
    <w:p>
      <w:pPr>
        <w:spacing w:before="0" w:after="80" w:line="276" w:lineRule="auto"/>
      </w:pPr>
      <w:r>
        <w:rPr>
          <w:b/>
          <w:color w:val="1B365D"/>
        </w:rPr>
        <w:t xml:space="preserve">Architecture Walkthrough: </w:t>
      </w:r>
      <w:r>
        <w:rPr>
          <w:color w:val="232323"/>
          <w:sz w:val="20"/>
        </w:rPr>
        <w:t>Figure 1 illustrates the high-level system architecture. The architecture is modularized into distinct operational layers: (1) Ingestion &amp; Cleaning Layer, where raw UCI data is retrieved and sanitized; (2) Experimentation &amp; Training Layer, where scikit-learn pipelines undergo nested cross-validation and hyperparameter optimization while logging metadata and artifacts to an MLflow Tracking Server; (3) Serialization &amp; Packaging Layer, where the champion pipeline is packaged into an immutable Joblib artifact with runtime metadata; (4) CI/CD Automation Layer, enforcing flake8 linting, pytest unit testing, model retraining, and container build/smoke-testing; (5) Containerized Serving Layer, exposing asynchronous `/predict`, `/health`, and `/metrics` endpoints via FastAPI; (6) Orchestration Layer, executing across replicated Kubernetes pods behind a LoadBalancer service; and (7) Observability Layer, scraping metrics into Prometheus and rendering operational dashboards in Grafana.</w:t>
      </w:r>
    </w:p>
    <w:p>
      <w:pPr>
        <w:spacing w:before="80" w:after="40"/>
        <w:jc w:val="center"/>
      </w:pPr>
      <w:r>
        <w:drawing>
          <wp:inline xmlns:a="http://schemas.openxmlformats.org/drawingml/2006/main" xmlns:pic="http://schemas.openxmlformats.org/drawingml/2006/picture">
            <wp:extent cx="5669280" cy="263279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632792"/>
                    </a:xfrm>
                    <a:prstGeom prst="rect"/>
                  </pic:spPr>
                </pic:pic>
              </a:graphicData>
            </a:graphic>
          </wp:inline>
        </w:drawing>
      </w:r>
    </w:p>
    <w:p>
      <w:pPr>
        <w:spacing w:before="0" w:after="120"/>
        <w:jc w:val="center"/>
      </w:pPr>
      <w:r>
        <w:rPr>
          <w:i/>
          <w:color w:val="505050"/>
          <w:sz w:val="17"/>
        </w:rPr>
        <w:t>Figure 1: End-to-end MLOps pipeline architecture — from raw data acquisition to Kubernetes serving and Grafana monitoring.</w:t>
      </w:r>
    </w:p>
    <w:p>
      <w:pPr>
        <w:pStyle w:val="Heading1"/>
        <w:keepNext/>
        <w:spacing w:before="280" w:after="80"/>
      </w:pPr>
      <w:r>
        <w:rPr>
          <w:b/>
          <w:color w:val="1B365D"/>
          <w:sz w:val="30"/>
        </w:rPr>
        <w:t>2. Setup and Environment Configuration</w:t>
      </w:r>
    </w:p>
    <w:p>
      <w:pPr>
        <w:spacing w:before="0" w:after="80" w:line="276" w:lineRule="auto"/>
      </w:pPr>
      <w:r>
        <w:rPr>
          <w:color w:val="232323"/>
          <w:sz w:val="20"/>
        </w:rPr>
        <w:t>A foundational principle of production-grade MLOps is deterministic reproducibility. Machine learning codebases frequently suffer from 'environment decay' and dependency drift when underlying package versions evolve silently. To ensure that this solution executes reliably across varied host environments (Linux, macOS, and Windows), all project dependencies are pinned strictly and separated into two functional tiers:</w:t>
      </w:r>
    </w:p>
    <w:p>
      <w:pPr>
        <w:pStyle w:val="ListBullet"/>
        <w:spacing w:before="20" w:after="60" w:line="276" w:lineRule="auto"/>
      </w:pPr>
      <w:r>
        <w:rPr>
          <w:b/>
          <w:color w:val="1B365D"/>
        </w:rPr>
        <w:t xml:space="preserve">Runtime Serving Dependencies (requirements-serve.txt): </w:t>
      </w:r>
      <w:r>
        <w:rPr>
          <w:color w:val="232323"/>
          <w:sz w:val="20"/>
        </w:rPr>
        <w:t>Contains only the minimal set of libraries required to deserialize the pipeline and serve HTTP inference requests: numpy==1.26.4, pandas==2.2.3, scikit-learn==1.5.2, scipy==1.13.1, joblib==1.4.2, fastapi==0.115.4, uvicorn==0.32.0, pydantic==2.9.2, and prometheus-client==0.21.0. This keeps the production Docker image lightweight (~150 MB compressed) and minimizes vulnerabilities.</w:t>
      </w:r>
    </w:p>
    <w:p>
      <w:pPr>
        <w:pStyle w:val="ListBullet"/>
        <w:spacing w:before="20" w:after="60" w:line="276" w:lineRule="auto"/>
      </w:pPr>
      <w:r>
        <w:rPr>
          <w:b/>
          <w:color w:val="1B365D"/>
        </w:rPr>
        <w:t xml:space="preserve">Development &amp; Training Dependencies (requirements.txt): </w:t>
      </w:r>
      <w:r>
        <w:rPr>
          <w:color w:val="232323"/>
          <w:sz w:val="20"/>
        </w:rPr>
        <w:t>Extends the serving requirements with model development, experimentation, and testing tooling: matplotlib==3.9.2, seaborn==0.13.2, mlflow==2.17.2, pytest==8.3.3, pytest-cov==5.0.0, httpx==0.27.2, flake8==7.1.1, and an editable install of the internal package (-e .).</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Step-by-Step Clean Setup Commands (Cross-Platform)</w:t>
            </w:r>
          </w:p>
          <w:p>
            <w:pPr>
              <w:spacing w:before="20" w:after="20"/>
            </w:pPr>
            <w:r>
              <w:rPr>
                <w:rFonts w:ascii="Consolas" w:hAnsi="Consolas"/>
                <w:color w:val="1E1E1E"/>
                <w:sz w:val="17"/>
              </w:rPr>
              <w:t># 1. Clone the repository and enter directory</w:t>
            </w:r>
          </w:p>
          <w:p>
            <w:pPr>
              <w:spacing w:before="20" w:after="20"/>
            </w:pPr>
            <w:r>
              <w:rPr>
                <w:rFonts w:ascii="Consolas" w:hAnsi="Consolas"/>
                <w:color w:val="1E1E1E"/>
                <w:sz w:val="17"/>
              </w:rPr>
              <w:t>git clone https://github.com/Mohana1507/heart-disease-mlops.git</w:t>
            </w:r>
          </w:p>
          <w:p>
            <w:pPr>
              <w:spacing w:before="20" w:after="20"/>
            </w:pPr>
            <w:r>
              <w:rPr>
                <w:rFonts w:ascii="Consolas" w:hAnsi="Consolas"/>
                <w:color w:val="1E1E1E"/>
                <w:sz w:val="17"/>
              </w:rPr>
              <w:t>cd heart-disease-mlops</w:t>
            </w:r>
          </w:p>
          <w:p>
            <w:pPr>
              <w:spacing w:before="20" w:after="20"/>
            </w:pPr>
            <w:r>
              <w:rPr>
                <w:rFonts w:ascii="Consolas" w:hAnsi="Consolas"/>
                <w:color w:val="1E1E1E"/>
                <w:sz w:val="17"/>
              </w:rPr>
            </w:r>
          </w:p>
          <w:p>
            <w:pPr>
              <w:spacing w:before="20" w:after="20"/>
            </w:pPr>
            <w:r>
              <w:rPr>
                <w:rFonts w:ascii="Consolas" w:hAnsi="Consolas"/>
                <w:color w:val="1E1E1E"/>
                <w:sz w:val="17"/>
              </w:rPr>
              <w:t># 2. Initialize isolated Python 3.11/3.12 virtual environment</w:t>
            </w:r>
          </w:p>
          <w:p>
            <w:pPr>
              <w:spacing w:before="20" w:after="20"/>
            </w:pPr>
            <w:r>
              <w:rPr>
                <w:rFonts w:ascii="Consolas" w:hAnsi="Consolas"/>
                <w:color w:val="1E1E1E"/>
                <w:sz w:val="17"/>
              </w:rPr>
              <w:t>python -m venv .venv</w:t>
            </w:r>
          </w:p>
          <w:p>
            <w:pPr>
              <w:spacing w:before="20" w:after="20"/>
            </w:pPr>
            <w:r>
              <w:rPr>
                <w:rFonts w:ascii="Consolas" w:hAnsi="Consolas"/>
                <w:color w:val="1E1E1E"/>
                <w:sz w:val="17"/>
              </w:rPr>
              <w:t># Activation -&gt; Linux/macOS: source .venv/bin/activate | Windows: .venv\Scripts\activate</w:t>
            </w:r>
          </w:p>
          <w:p>
            <w:pPr>
              <w:spacing w:before="20" w:after="20"/>
            </w:pPr>
            <w:r>
              <w:rPr>
                <w:rFonts w:ascii="Consolas" w:hAnsi="Consolas"/>
                <w:color w:val="1E1E1E"/>
                <w:sz w:val="17"/>
              </w:rPr>
            </w:r>
          </w:p>
          <w:p>
            <w:pPr>
              <w:spacing w:before="20" w:after="20"/>
            </w:pPr>
            <w:r>
              <w:rPr>
                <w:rFonts w:ascii="Consolas" w:hAnsi="Consolas"/>
                <w:color w:val="1E1E1E"/>
                <w:sz w:val="17"/>
              </w:rPr>
              <w:t># 3. Install pinned dependencies and register local package in editable mode</w:t>
            </w:r>
          </w:p>
          <w:p>
            <w:pPr>
              <w:spacing w:before="20" w:after="20"/>
            </w:pPr>
            <w:r>
              <w:rPr>
                <w:rFonts w:ascii="Consolas" w:hAnsi="Consolas"/>
                <w:color w:val="1E1E1E"/>
                <w:sz w:val="17"/>
              </w:rPr>
              <w:t>pip install -r requirements.txt</w:t>
            </w:r>
          </w:p>
          <w:p>
            <w:pPr>
              <w:spacing w:before="20" w:after="20"/>
            </w:pPr>
            <w:r>
              <w:rPr>
                <w:rFonts w:ascii="Consolas" w:hAnsi="Consolas"/>
                <w:color w:val="1E1E1E"/>
                <w:sz w:val="17"/>
              </w:rPr>
            </w:r>
          </w:p>
          <w:p>
            <w:pPr>
              <w:spacing w:before="20" w:after="20"/>
            </w:pPr>
            <w:r>
              <w:rPr>
                <w:rFonts w:ascii="Consolas" w:hAnsi="Consolas"/>
                <w:color w:val="1E1E1E"/>
                <w:sz w:val="17"/>
              </w:rPr>
              <w:t># 4. Download UCI Cleveland data and generate clean processed CSV</w:t>
            </w:r>
          </w:p>
          <w:p>
            <w:pPr>
              <w:spacing w:before="20" w:after="20"/>
            </w:pPr>
            <w:r>
              <w:rPr>
                <w:rFonts w:ascii="Consolas" w:hAnsi="Consolas"/>
                <w:color w:val="1E1E1E"/>
                <w:sz w:val="17"/>
              </w:rPr>
              <w:t>python scripts/download_data.py</w:t>
            </w:r>
          </w:p>
          <w:p>
            <w:pPr>
              <w:spacing w:before="20" w:after="20"/>
            </w:pPr>
            <w:r>
              <w:rPr>
                <w:rFonts w:ascii="Consolas" w:hAnsi="Consolas"/>
                <w:color w:val="1E1E1E"/>
                <w:sz w:val="17"/>
              </w:rPr>
            </w:r>
          </w:p>
          <w:p>
            <w:pPr>
              <w:spacing w:before="20" w:after="20"/>
            </w:pPr>
            <w:r>
              <w:rPr>
                <w:rFonts w:ascii="Consolas" w:hAnsi="Consolas"/>
                <w:color w:val="1E1E1E"/>
                <w:sz w:val="17"/>
              </w:rPr>
              <w:t># 5. Execute exploratory data analysis and export diagnostic figures</w:t>
            </w:r>
          </w:p>
          <w:p>
            <w:pPr>
              <w:spacing w:before="20" w:after="20"/>
            </w:pPr>
            <w:r>
              <w:rPr>
                <w:rFonts w:ascii="Consolas" w:hAnsi="Consolas"/>
                <w:color w:val="1E1E1E"/>
                <w:sz w:val="17"/>
              </w:rPr>
              <w:t>python -m heart.eda</w:t>
            </w:r>
          </w:p>
          <w:p>
            <w:pPr>
              <w:spacing w:before="20" w:after="20"/>
            </w:pPr>
            <w:r>
              <w:rPr>
                <w:rFonts w:ascii="Consolas" w:hAnsi="Consolas"/>
                <w:color w:val="1E1E1E"/>
                <w:sz w:val="17"/>
              </w:rPr>
            </w:r>
          </w:p>
          <w:p>
            <w:pPr>
              <w:spacing w:before="20" w:after="20"/>
            </w:pPr>
            <w:r>
              <w:rPr>
                <w:rFonts w:ascii="Consolas" w:hAnsi="Consolas"/>
                <w:color w:val="1E1E1E"/>
                <w:sz w:val="17"/>
              </w:rPr>
              <w:t># 6. Train candidate models, run nested CV, log to MLflow, and package best model</w:t>
            </w:r>
          </w:p>
          <w:p>
            <w:pPr>
              <w:spacing w:before="20" w:after="20"/>
            </w:pPr>
            <w:r>
              <w:rPr>
                <w:rFonts w:ascii="Consolas" w:hAnsi="Consolas"/>
                <w:color w:val="1E1E1E"/>
                <w:sz w:val="17"/>
              </w:rPr>
              <w:t>python -m heart.train</w:t>
            </w:r>
          </w:p>
          <w:p>
            <w:pPr>
              <w:spacing w:before="20" w:after="20"/>
            </w:pPr>
            <w:r>
              <w:rPr>
                <w:rFonts w:ascii="Consolas" w:hAnsi="Consolas"/>
                <w:color w:val="1E1E1E"/>
                <w:sz w:val="17"/>
              </w:rPr>
            </w:r>
          </w:p>
          <w:p>
            <w:pPr>
              <w:spacing w:before="20" w:after="20"/>
            </w:pPr>
            <w:r>
              <w:rPr>
                <w:rFonts w:ascii="Consolas" w:hAnsi="Consolas"/>
                <w:color w:val="1E1E1E"/>
                <w:sz w:val="17"/>
              </w:rPr>
              <w:t># 7. Execute automated unit test suite and verify code quality</w:t>
            </w:r>
          </w:p>
          <w:p>
            <w:pPr>
              <w:spacing w:before="20" w:after="20"/>
            </w:pPr>
            <w:r>
              <w:rPr>
                <w:rFonts w:ascii="Consolas" w:hAnsi="Consolas"/>
                <w:color w:val="1E1E1E"/>
                <w:sz w:val="17"/>
              </w:rPr>
              <w:t>pytest --cov=src/heart --cov-report=term-missing</w:t>
            </w:r>
          </w:p>
          <w:p>
            <w:pPr>
              <w:spacing w:before="20" w:after="20"/>
            </w:pPr>
            <w:r>
              <w:rPr>
                <w:rFonts w:ascii="Consolas" w:hAnsi="Consolas"/>
                <w:color w:val="1E1E1E"/>
                <w:sz w:val="17"/>
              </w:rPr>
              <w:t>flake8 src tests scripts</w:t>
            </w:r>
          </w:p>
        </w:tc>
      </w:tr>
    </w:tbl>
    <w:p>
      <w:pPr>
        <w:spacing w:before="40" w:after="80"/>
      </w:pPr>
    </w:p>
    <w:p>
      <w:pPr>
        <w:pStyle w:val="Heading1"/>
        <w:keepNext/>
        <w:spacing w:before="280" w:after="80"/>
      </w:pPr>
      <w:r>
        <w:rPr>
          <w:b/>
          <w:color w:val="1B365D"/>
          <w:sz w:val="30"/>
        </w:rPr>
        <w:t>3. Data Acquisition and Exploratory Data Analysis</w:t>
      </w:r>
    </w:p>
    <w:p>
      <w:pPr>
        <w:pStyle w:val="Heading2"/>
        <w:keepNext/>
        <w:spacing w:before="200" w:after="60"/>
      </w:pPr>
      <w:r>
        <w:rPr>
          <w:b/>
          <w:color w:val="294A6E"/>
          <w:sz w:val="25"/>
        </w:rPr>
        <w:t>3.1 Dataset Overview</w:t>
      </w:r>
    </w:p>
    <w:p>
      <w:pPr>
        <w:spacing w:before="0" w:after="80" w:line="276" w:lineRule="auto"/>
      </w:pPr>
      <w:r>
        <w:rPr>
          <w:color w:val="232323"/>
          <w:sz w:val="20"/>
        </w:rPr>
        <w:t>The project utilizes the canonical Heart Disease dataset compiled by the UCI Machine Learning Repository (Dua &amp; Graff, 2019). While the complete repository aggregates patient cohorts across four clinical institutions (Cleveland Clinic Foundation, Hungarian Institute of Cardiology in Budapest, V.A. Medical Center in Long Beach, and University Hospital of Zurich), clinical literature and empirical practice predominantly utilize the Cleveland subset (processed.cleveland.data) as it is the only cohort with complete recording across essential angiographic and fluoroscopic markers. The Cleveland database comprises 303 patient records, each described by 13 clinical predictors and a categorical angiographic disease outcome (Detrano et al., 1989). Table 2 provides the feature dictionary.</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06"/>
        <w:gridCol w:w="3106"/>
        <w:gridCol w:w="3106"/>
      </w:tblGrid>
      <w:tr>
        <w:tc>
          <w:tcPr>
            <w:tcW w:type="dxa" w:w="1728"/>
            <w:shd w:fill="1B365D"/>
            <w:tcMar>
              <w:top w:w="120" w:type="dxa"/>
              <w:bottom w:w="120" w:type="dxa"/>
              <w:left w:w="140" w:type="dxa"/>
              <w:right w:w="140" w:type="dxa"/>
            </w:tcMar>
          </w:tcPr>
          <w:p>
            <w:pPr>
              <w:spacing w:before="0" w:after="0"/>
            </w:pPr>
            <w:r>
              <w:rPr>
                <w:b/>
                <w:color w:val="FFFFFF"/>
                <w:sz w:val="19"/>
              </w:rPr>
              <w:t>Feature</w:t>
            </w:r>
          </w:p>
        </w:tc>
        <w:tc>
          <w:tcPr>
            <w:tcW w:type="dxa" w:w="2160"/>
            <w:shd w:fill="1B365D"/>
            <w:tcMar>
              <w:top w:w="120" w:type="dxa"/>
              <w:bottom w:w="120" w:type="dxa"/>
              <w:left w:w="140" w:type="dxa"/>
              <w:right w:w="140" w:type="dxa"/>
            </w:tcMar>
          </w:tcPr>
          <w:p>
            <w:pPr>
              <w:spacing w:before="0" w:after="0"/>
            </w:pPr>
            <w:r>
              <w:rPr>
                <w:b/>
                <w:color w:val="FFFFFF"/>
                <w:sz w:val="19"/>
              </w:rPr>
              <w:t>Data Type</w:t>
            </w:r>
          </w:p>
        </w:tc>
        <w:tc>
          <w:tcPr>
            <w:tcW w:type="dxa" w:w="5472"/>
            <w:shd w:fill="1B365D"/>
            <w:tcMar>
              <w:top w:w="120" w:type="dxa"/>
              <w:bottom w:w="120" w:type="dxa"/>
              <w:left w:w="140" w:type="dxa"/>
              <w:right w:w="140" w:type="dxa"/>
            </w:tcMar>
          </w:tcPr>
          <w:p>
            <w:pPr>
              <w:spacing w:before="0" w:after="0"/>
            </w:pPr>
            <w:r>
              <w:rPr>
                <w:b/>
                <w:color w:val="FFFFFF"/>
                <w:sz w:val="19"/>
              </w:rPr>
              <w:t>Clinical Description &amp; Measurement Scale</w:t>
            </w:r>
          </w:p>
        </w:tc>
      </w:tr>
      <w:tr>
        <w:tc>
          <w:tcPr>
            <w:tcW w:type="dxa" w:w="1728"/>
            <w:shd w:fill="F7F9FB"/>
            <w:tcMar>
              <w:top w:w="80" w:type="dxa"/>
              <w:bottom w:w="80" w:type="dxa"/>
              <w:left w:w="140" w:type="dxa"/>
              <w:right w:w="140" w:type="dxa"/>
            </w:tcMar>
          </w:tcPr>
          <w:p>
            <w:pPr>
              <w:spacing w:before="0" w:after="0"/>
            </w:pPr>
            <w:r>
              <w:rPr>
                <w:color w:val="282828"/>
                <w:sz w:val="18"/>
              </w:rPr>
              <w:t>age</w:t>
            </w:r>
          </w:p>
        </w:tc>
        <w:tc>
          <w:tcPr>
            <w:tcW w:type="dxa" w:w="2160"/>
            <w:shd w:fill="F7F9FB"/>
            <w:tcMar>
              <w:top w:w="80" w:type="dxa"/>
              <w:bottom w:w="80" w:type="dxa"/>
              <w:left w:w="140" w:type="dxa"/>
              <w:right w:w="140" w:type="dxa"/>
            </w:tcMar>
          </w:tcPr>
          <w:p>
            <w:pPr>
              <w:spacing w:before="0" w:after="0"/>
            </w:pPr>
            <w:r>
              <w:rPr>
                <w:color w:val="282828"/>
                <w:sz w:val="18"/>
              </w:rPr>
              <w:t>Numeric (Float)</w:t>
            </w:r>
          </w:p>
        </w:tc>
        <w:tc>
          <w:tcPr>
            <w:tcW w:type="dxa" w:w="5472"/>
            <w:shd w:fill="F7F9FB"/>
            <w:tcMar>
              <w:top w:w="80" w:type="dxa"/>
              <w:bottom w:w="80" w:type="dxa"/>
              <w:left w:w="140" w:type="dxa"/>
              <w:right w:w="140" w:type="dxa"/>
            </w:tcMar>
          </w:tcPr>
          <w:p>
            <w:pPr>
              <w:spacing w:before="0" w:after="0"/>
            </w:pPr>
            <w:r>
              <w:rPr>
                <w:color w:val="282828"/>
                <w:sz w:val="18"/>
              </w:rPr>
              <w:t>Patient age in years (Range: 29.0 to 77.0, Mean: 54.44).</w:t>
            </w:r>
          </w:p>
        </w:tc>
      </w:tr>
      <w:tr>
        <w:tc>
          <w:tcPr>
            <w:tcW w:type="dxa" w:w="1728"/>
            <w:shd w:fill="FFFFFF"/>
            <w:tcMar>
              <w:top w:w="80" w:type="dxa"/>
              <w:bottom w:w="80" w:type="dxa"/>
              <w:left w:w="140" w:type="dxa"/>
              <w:right w:w="140" w:type="dxa"/>
            </w:tcMar>
          </w:tcPr>
          <w:p>
            <w:pPr>
              <w:spacing w:before="0" w:after="0"/>
            </w:pPr>
            <w:r>
              <w:rPr>
                <w:color w:val="282828"/>
                <w:sz w:val="18"/>
              </w:rPr>
              <w:t>sex</w:t>
            </w:r>
          </w:p>
        </w:tc>
        <w:tc>
          <w:tcPr>
            <w:tcW w:type="dxa" w:w="2160"/>
            <w:shd w:fill="FFFFFF"/>
            <w:tcMar>
              <w:top w:w="80" w:type="dxa"/>
              <w:bottom w:w="80" w:type="dxa"/>
              <w:left w:w="140" w:type="dxa"/>
              <w:right w:w="140" w:type="dxa"/>
            </w:tcMar>
          </w:tcPr>
          <w:p>
            <w:pPr>
              <w:spacing w:before="0" w:after="0"/>
            </w:pPr>
            <w:r>
              <w:rPr>
                <w:color w:val="282828"/>
                <w:sz w:val="18"/>
              </w:rPr>
              <w:t>Binary (0/1)</w:t>
            </w:r>
          </w:p>
        </w:tc>
        <w:tc>
          <w:tcPr>
            <w:tcW w:type="dxa" w:w="5472"/>
            <w:shd w:fill="FFFFFF"/>
            <w:tcMar>
              <w:top w:w="80" w:type="dxa"/>
              <w:bottom w:w="80" w:type="dxa"/>
              <w:left w:w="140" w:type="dxa"/>
              <w:right w:w="140" w:type="dxa"/>
            </w:tcMar>
          </w:tcPr>
          <w:p>
            <w:pPr>
              <w:spacing w:before="0" w:after="0"/>
            </w:pPr>
            <w:r>
              <w:rPr>
                <w:color w:val="282828"/>
                <w:sz w:val="18"/>
              </w:rPr>
              <w:t>Biological sex: 1 = male (68.0%), 0 = female (32.0%).</w:t>
            </w:r>
          </w:p>
        </w:tc>
      </w:tr>
      <w:tr>
        <w:tc>
          <w:tcPr>
            <w:tcW w:type="dxa" w:w="1728"/>
            <w:shd w:fill="F7F9FB"/>
            <w:tcMar>
              <w:top w:w="80" w:type="dxa"/>
              <w:bottom w:w="80" w:type="dxa"/>
              <w:left w:w="140" w:type="dxa"/>
              <w:right w:w="140" w:type="dxa"/>
            </w:tcMar>
          </w:tcPr>
          <w:p>
            <w:pPr>
              <w:spacing w:before="0" w:after="0"/>
            </w:pPr>
            <w:r>
              <w:rPr>
                <w:color w:val="282828"/>
                <w:sz w:val="18"/>
              </w:rPr>
              <w:t>cp</w:t>
            </w:r>
          </w:p>
        </w:tc>
        <w:tc>
          <w:tcPr>
            <w:tcW w:type="dxa" w:w="2160"/>
            <w:shd w:fill="F7F9FB"/>
            <w:tcMar>
              <w:top w:w="80" w:type="dxa"/>
              <w:bottom w:w="80" w:type="dxa"/>
              <w:left w:w="140" w:type="dxa"/>
              <w:right w:w="140" w:type="dxa"/>
            </w:tcMar>
          </w:tcPr>
          <w:p>
            <w:pPr>
              <w:spacing w:before="0" w:after="0"/>
            </w:pPr>
            <w:r>
              <w:rPr>
                <w:color w:val="282828"/>
                <w:sz w:val="18"/>
              </w:rPr>
              <w:t>Categorical (1-4)</w:t>
            </w:r>
          </w:p>
        </w:tc>
        <w:tc>
          <w:tcPr>
            <w:tcW w:type="dxa" w:w="5472"/>
            <w:shd w:fill="F7F9FB"/>
            <w:tcMar>
              <w:top w:w="80" w:type="dxa"/>
              <w:bottom w:w="80" w:type="dxa"/>
              <w:left w:w="140" w:type="dxa"/>
              <w:right w:w="140" w:type="dxa"/>
            </w:tcMar>
          </w:tcPr>
          <w:p>
            <w:pPr>
              <w:spacing w:before="0" w:after="0"/>
            </w:pPr>
            <w:r>
              <w:rPr>
                <w:color w:val="282828"/>
                <w:sz w:val="18"/>
              </w:rPr>
              <w:t>Chest pain type: 1 = typical angina, 2 = atypical angina, 3 = non-anginal pain, 4 = asymptomatic.</w:t>
            </w:r>
          </w:p>
        </w:tc>
      </w:tr>
      <w:tr>
        <w:tc>
          <w:tcPr>
            <w:tcW w:type="dxa" w:w="1728"/>
            <w:shd w:fill="FFFFFF"/>
            <w:tcMar>
              <w:top w:w="80" w:type="dxa"/>
              <w:bottom w:w="80" w:type="dxa"/>
              <w:left w:w="140" w:type="dxa"/>
              <w:right w:w="140" w:type="dxa"/>
            </w:tcMar>
          </w:tcPr>
          <w:p>
            <w:pPr>
              <w:spacing w:before="0" w:after="0"/>
            </w:pPr>
            <w:r>
              <w:rPr>
                <w:color w:val="282828"/>
                <w:sz w:val="18"/>
              </w:rPr>
              <w:t>trestbps</w:t>
            </w:r>
          </w:p>
        </w:tc>
        <w:tc>
          <w:tcPr>
            <w:tcW w:type="dxa" w:w="2160"/>
            <w:shd w:fill="FFFFFF"/>
            <w:tcMar>
              <w:top w:w="80" w:type="dxa"/>
              <w:bottom w:w="80" w:type="dxa"/>
              <w:left w:w="140" w:type="dxa"/>
              <w:right w:w="140" w:type="dxa"/>
            </w:tcMar>
          </w:tcPr>
          <w:p>
            <w:pPr>
              <w:spacing w:before="0" w:after="0"/>
            </w:pPr>
            <w:r>
              <w:rPr>
                <w:color w:val="282828"/>
                <w:sz w:val="18"/>
              </w:rPr>
              <w:t>Numeric (Float)</w:t>
            </w:r>
          </w:p>
        </w:tc>
        <w:tc>
          <w:tcPr>
            <w:tcW w:type="dxa" w:w="5472"/>
            <w:shd w:fill="FFFFFF"/>
            <w:tcMar>
              <w:top w:w="80" w:type="dxa"/>
              <w:bottom w:w="80" w:type="dxa"/>
              <w:left w:w="140" w:type="dxa"/>
              <w:right w:w="140" w:type="dxa"/>
            </w:tcMar>
          </w:tcPr>
          <w:p>
            <w:pPr>
              <w:spacing w:before="0" w:after="0"/>
            </w:pPr>
            <w:r>
              <w:rPr>
                <w:color w:val="282828"/>
                <w:sz w:val="18"/>
              </w:rPr>
              <w:t>Resting blood pressure in mm Hg on hospital admission (Range: 94 to 200, Mean: 131.69).</w:t>
            </w:r>
          </w:p>
        </w:tc>
      </w:tr>
      <w:tr>
        <w:tc>
          <w:tcPr>
            <w:tcW w:type="dxa" w:w="1728"/>
            <w:shd w:fill="F7F9FB"/>
            <w:tcMar>
              <w:top w:w="80" w:type="dxa"/>
              <w:bottom w:w="80" w:type="dxa"/>
              <w:left w:w="140" w:type="dxa"/>
              <w:right w:w="140" w:type="dxa"/>
            </w:tcMar>
          </w:tcPr>
          <w:p>
            <w:pPr>
              <w:spacing w:before="0" w:after="0"/>
            </w:pPr>
            <w:r>
              <w:rPr>
                <w:color w:val="282828"/>
                <w:sz w:val="18"/>
              </w:rPr>
              <w:t>chol</w:t>
            </w:r>
          </w:p>
        </w:tc>
        <w:tc>
          <w:tcPr>
            <w:tcW w:type="dxa" w:w="2160"/>
            <w:shd w:fill="F7F9FB"/>
            <w:tcMar>
              <w:top w:w="80" w:type="dxa"/>
              <w:bottom w:w="80" w:type="dxa"/>
              <w:left w:w="140" w:type="dxa"/>
              <w:right w:w="140" w:type="dxa"/>
            </w:tcMar>
          </w:tcPr>
          <w:p>
            <w:pPr>
              <w:spacing w:before="0" w:after="0"/>
            </w:pPr>
            <w:r>
              <w:rPr>
                <w:color w:val="282828"/>
                <w:sz w:val="18"/>
              </w:rPr>
              <w:t>Numeric (Float)</w:t>
            </w:r>
          </w:p>
        </w:tc>
        <w:tc>
          <w:tcPr>
            <w:tcW w:type="dxa" w:w="5472"/>
            <w:shd w:fill="F7F9FB"/>
            <w:tcMar>
              <w:top w:w="80" w:type="dxa"/>
              <w:bottom w:w="80" w:type="dxa"/>
              <w:left w:w="140" w:type="dxa"/>
              <w:right w:w="140" w:type="dxa"/>
            </w:tcMar>
          </w:tcPr>
          <w:p>
            <w:pPr>
              <w:spacing w:before="0" w:after="0"/>
            </w:pPr>
            <w:r>
              <w:rPr>
                <w:color w:val="282828"/>
                <w:sz w:val="18"/>
              </w:rPr>
              <w:t>Serum cholesterol concentration in mg/dl (Range: 126 to 564, Mean: 246.69).</w:t>
            </w:r>
          </w:p>
        </w:tc>
      </w:tr>
      <w:tr>
        <w:tc>
          <w:tcPr>
            <w:tcW w:type="dxa" w:w="1728"/>
            <w:shd w:fill="FFFFFF"/>
            <w:tcMar>
              <w:top w:w="80" w:type="dxa"/>
              <w:bottom w:w="80" w:type="dxa"/>
              <w:left w:w="140" w:type="dxa"/>
              <w:right w:w="140" w:type="dxa"/>
            </w:tcMar>
          </w:tcPr>
          <w:p>
            <w:pPr>
              <w:spacing w:before="0" w:after="0"/>
            </w:pPr>
            <w:r>
              <w:rPr>
                <w:color w:val="282828"/>
                <w:sz w:val="18"/>
              </w:rPr>
              <w:t>fbs</w:t>
            </w:r>
          </w:p>
        </w:tc>
        <w:tc>
          <w:tcPr>
            <w:tcW w:type="dxa" w:w="2160"/>
            <w:shd w:fill="FFFFFF"/>
            <w:tcMar>
              <w:top w:w="80" w:type="dxa"/>
              <w:bottom w:w="80" w:type="dxa"/>
              <w:left w:w="140" w:type="dxa"/>
              <w:right w:w="140" w:type="dxa"/>
            </w:tcMar>
          </w:tcPr>
          <w:p>
            <w:pPr>
              <w:spacing w:before="0" w:after="0"/>
            </w:pPr>
            <w:r>
              <w:rPr>
                <w:color w:val="282828"/>
                <w:sz w:val="18"/>
              </w:rPr>
              <w:t>Binary (0/1)</w:t>
            </w:r>
          </w:p>
        </w:tc>
        <w:tc>
          <w:tcPr>
            <w:tcW w:type="dxa" w:w="5472"/>
            <w:shd w:fill="FFFFFF"/>
            <w:tcMar>
              <w:top w:w="80" w:type="dxa"/>
              <w:bottom w:w="80" w:type="dxa"/>
              <w:left w:w="140" w:type="dxa"/>
              <w:right w:w="140" w:type="dxa"/>
            </w:tcMar>
          </w:tcPr>
          <w:p>
            <w:pPr>
              <w:spacing w:before="0" w:after="0"/>
            </w:pPr>
            <w:r>
              <w:rPr>
                <w:color w:val="282828"/>
                <w:sz w:val="18"/>
              </w:rPr>
              <w:t>Fasting blood sugar &gt; 120 mg/dl: 1 = true (14.9%), 0 = false (85.1%).</w:t>
            </w:r>
          </w:p>
        </w:tc>
      </w:tr>
      <w:tr>
        <w:tc>
          <w:tcPr>
            <w:tcW w:type="dxa" w:w="1728"/>
            <w:shd w:fill="F7F9FB"/>
            <w:tcMar>
              <w:top w:w="80" w:type="dxa"/>
              <w:bottom w:w="80" w:type="dxa"/>
              <w:left w:w="140" w:type="dxa"/>
              <w:right w:w="140" w:type="dxa"/>
            </w:tcMar>
          </w:tcPr>
          <w:p>
            <w:pPr>
              <w:spacing w:before="0" w:after="0"/>
            </w:pPr>
            <w:r>
              <w:rPr>
                <w:color w:val="282828"/>
                <w:sz w:val="18"/>
              </w:rPr>
              <w:t>restecg</w:t>
            </w:r>
          </w:p>
        </w:tc>
        <w:tc>
          <w:tcPr>
            <w:tcW w:type="dxa" w:w="2160"/>
            <w:shd w:fill="F7F9FB"/>
            <w:tcMar>
              <w:top w:w="80" w:type="dxa"/>
              <w:bottom w:w="80" w:type="dxa"/>
              <w:left w:w="140" w:type="dxa"/>
              <w:right w:w="140" w:type="dxa"/>
            </w:tcMar>
          </w:tcPr>
          <w:p>
            <w:pPr>
              <w:spacing w:before="0" w:after="0"/>
            </w:pPr>
            <w:r>
              <w:rPr>
                <w:color w:val="282828"/>
                <w:sz w:val="18"/>
              </w:rPr>
              <w:t>Categorical (0-2)</w:t>
            </w:r>
          </w:p>
        </w:tc>
        <w:tc>
          <w:tcPr>
            <w:tcW w:type="dxa" w:w="5472"/>
            <w:shd w:fill="F7F9FB"/>
            <w:tcMar>
              <w:top w:w="80" w:type="dxa"/>
              <w:bottom w:w="80" w:type="dxa"/>
              <w:left w:w="140" w:type="dxa"/>
              <w:right w:w="140" w:type="dxa"/>
            </w:tcMar>
          </w:tcPr>
          <w:p>
            <w:pPr>
              <w:spacing w:before="0" w:after="0"/>
            </w:pPr>
            <w:r>
              <w:rPr>
                <w:color w:val="282828"/>
                <w:sz w:val="18"/>
              </w:rPr>
              <w:t>Resting ECG: 0 = normal, 1 = ST-T wave abnormality, 2 = left ventricular hypertrophy.</w:t>
            </w:r>
          </w:p>
        </w:tc>
      </w:tr>
      <w:tr>
        <w:tc>
          <w:tcPr>
            <w:tcW w:type="dxa" w:w="1728"/>
            <w:shd w:fill="FFFFFF"/>
            <w:tcMar>
              <w:top w:w="80" w:type="dxa"/>
              <w:bottom w:w="80" w:type="dxa"/>
              <w:left w:w="140" w:type="dxa"/>
              <w:right w:w="140" w:type="dxa"/>
            </w:tcMar>
          </w:tcPr>
          <w:p>
            <w:pPr>
              <w:spacing w:before="0" w:after="0"/>
            </w:pPr>
            <w:r>
              <w:rPr>
                <w:color w:val="282828"/>
                <w:sz w:val="18"/>
              </w:rPr>
              <w:t>thalach</w:t>
            </w:r>
          </w:p>
        </w:tc>
        <w:tc>
          <w:tcPr>
            <w:tcW w:type="dxa" w:w="2160"/>
            <w:shd w:fill="FFFFFF"/>
            <w:tcMar>
              <w:top w:w="80" w:type="dxa"/>
              <w:bottom w:w="80" w:type="dxa"/>
              <w:left w:w="140" w:type="dxa"/>
              <w:right w:w="140" w:type="dxa"/>
            </w:tcMar>
          </w:tcPr>
          <w:p>
            <w:pPr>
              <w:spacing w:before="0" w:after="0"/>
            </w:pPr>
            <w:r>
              <w:rPr>
                <w:color w:val="282828"/>
                <w:sz w:val="18"/>
              </w:rPr>
              <w:t>Numeric (Float)</w:t>
            </w:r>
          </w:p>
        </w:tc>
        <w:tc>
          <w:tcPr>
            <w:tcW w:type="dxa" w:w="5472"/>
            <w:shd w:fill="FFFFFF"/>
            <w:tcMar>
              <w:top w:w="80" w:type="dxa"/>
              <w:bottom w:w="80" w:type="dxa"/>
              <w:left w:w="140" w:type="dxa"/>
              <w:right w:w="140" w:type="dxa"/>
            </w:tcMar>
          </w:tcPr>
          <w:p>
            <w:pPr>
              <w:spacing w:before="0" w:after="0"/>
            </w:pPr>
            <w:r>
              <w:rPr>
                <w:color w:val="282828"/>
                <w:sz w:val="18"/>
              </w:rPr>
              <w:t>Maximum heart rate achieved during exercise treadmill stress test (Range: 71 to 202, Mean: 149.61).</w:t>
            </w:r>
          </w:p>
        </w:tc>
      </w:tr>
      <w:tr>
        <w:tc>
          <w:tcPr>
            <w:tcW w:type="dxa" w:w="1728"/>
            <w:shd w:fill="F7F9FB"/>
            <w:tcMar>
              <w:top w:w="80" w:type="dxa"/>
              <w:bottom w:w="80" w:type="dxa"/>
              <w:left w:w="140" w:type="dxa"/>
              <w:right w:w="140" w:type="dxa"/>
            </w:tcMar>
          </w:tcPr>
          <w:p>
            <w:pPr>
              <w:spacing w:before="0" w:after="0"/>
            </w:pPr>
            <w:r>
              <w:rPr>
                <w:color w:val="282828"/>
                <w:sz w:val="18"/>
              </w:rPr>
              <w:t>exang</w:t>
            </w:r>
          </w:p>
        </w:tc>
        <w:tc>
          <w:tcPr>
            <w:tcW w:type="dxa" w:w="2160"/>
            <w:shd w:fill="F7F9FB"/>
            <w:tcMar>
              <w:top w:w="80" w:type="dxa"/>
              <w:bottom w:w="80" w:type="dxa"/>
              <w:left w:w="140" w:type="dxa"/>
              <w:right w:w="140" w:type="dxa"/>
            </w:tcMar>
          </w:tcPr>
          <w:p>
            <w:pPr>
              <w:spacing w:before="0" w:after="0"/>
            </w:pPr>
            <w:r>
              <w:rPr>
                <w:color w:val="282828"/>
                <w:sz w:val="18"/>
              </w:rPr>
              <w:t>Binary (0/1)</w:t>
            </w:r>
          </w:p>
        </w:tc>
        <w:tc>
          <w:tcPr>
            <w:tcW w:type="dxa" w:w="5472"/>
            <w:shd w:fill="F7F9FB"/>
            <w:tcMar>
              <w:top w:w="80" w:type="dxa"/>
              <w:bottom w:w="80" w:type="dxa"/>
              <w:left w:w="140" w:type="dxa"/>
              <w:right w:w="140" w:type="dxa"/>
            </w:tcMar>
          </w:tcPr>
          <w:p>
            <w:pPr>
              <w:spacing w:before="0" w:after="0"/>
            </w:pPr>
            <w:r>
              <w:rPr>
                <w:color w:val="282828"/>
                <w:sz w:val="18"/>
              </w:rPr>
              <w:t>Exercise-induced angina: 1 = yes (32.7%), 0 = no (67.3%).</w:t>
            </w:r>
          </w:p>
        </w:tc>
      </w:tr>
      <w:tr>
        <w:tc>
          <w:tcPr>
            <w:tcW w:type="dxa" w:w="1728"/>
            <w:shd w:fill="FFFFFF"/>
            <w:tcMar>
              <w:top w:w="80" w:type="dxa"/>
              <w:bottom w:w="80" w:type="dxa"/>
              <w:left w:w="140" w:type="dxa"/>
              <w:right w:w="140" w:type="dxa"/>
            </w:tcMar>
          </w:tcPr>
          <w:p>
            <w:pPr>
              <w:spacing w:before="0" w:after="0"/>
            </w:pPr>
            <w:r>
              <w:rPr>
                <w:color w:val="282828"/>
                <w:sz w:val="18"/>
              </w:rPr>
              <w:t>oldpeak</w:t>
            </w:r>
          </w:p>
        </w:tc>
        <w:tc>
          <w:tcPr>
            <w:tcW w:type="dxa" w:w="2160"/>
            <w:shd w:fill="FFFFFF"/>
            <w:tcMar>
              <w:top w:w="80" w:type="dxa"/>
              <w:bottom w:w="80" w:type="dxa"/>
              <w:left w:w="140" w:type="dxa"/>
              <w:right w:w="140" w:type="dxa"/>
            </w:tcMar>
          </w:tcPr>
          <w:p>
            <w:pPr>
              <w:spacing w:before="0" w:after="0"/>
            </w:pPr>
            <w:r>
              <w:rPr>
                <w:color w:val="282828"/>
                <w:sz w:val="18"/>
              </w:rPr>
              <w:t>Numeric (Float)</w:t>
            </w:r>
          </w:p>
        </w:tc>
        <w:tc>
          <w:tcPr>
            <w:tcW w:type="dxa" w:w="5472"/>
            <w:shd w:fill="FFFFFF"/>
            <w:tcMar>
              <w:top w:w="80" w:type="dxa"/>
              <w:bottom w:w="80" w:type="dxa"/>
              <w:left w:w="140" w:type="dxa"/>
              <w:right w:w="140" w:type="dxa"/>
            </w:tcMar>
          </w:tcPr>
          <w:p>
            <w:pPr>
              <w:spacing w:before="0" w:after="0"/>
            </w:pPr>
            <w:r>
              <w:rPr>
                <w:color w:val="282828"/>
                <w:sz w:val="18"/>
              </w:rPr>
              <w:t>ST depression induced by exercise relative to resting baseline in mm (Range: 0.0 to 6.2, Mean: 1.04).</w:t>
            </w:r>
          </w:p>
        </w:tc>
      </w:tr>
      <w:tr>
        <w:tc>
          <w:tcPr>
            <w:tcW w:type="dxa" w:w="1728"/>
            <w:shd w:fill="F7F9FB"/>
            <w:tcMar>
              <w:top w:w="80" w:type="dxa"/>
              <w:bottom w:w="80" w:type="dxa"/>
              <w:left w:w="140" w:type="dxa"/>
              <w:right w:w="140" w:type="dxa"/>
            </w:tcMar>
          </w:tcPr>
          <w:p>
            <w:pPr>
              <w:spacing w:before="0" w:after="0"/>
            </w:pPr>
            <w:r>
              <w:rPr>
                <w:color w:val="282828"/>
                <w:sz w:val="18"/>
              </w:rPr>
              <w:t>slope</w:t>
            </w:r>
          </w:p>
        </w:tc>
        <w:tc>
          <w:tcPr>
            <w:tcW w:type="dxa" w:w="2160"/>
            <w:shd w:fill="F7F9FB"/>
            <w:tcMar>
              <w:top w:w="80" w:type="dxa"/>
              <w:bottom w:w="80" w:type="dxa"/>
              <w:left w:w="140" w:type="dxa"/>
              <w:right w:w="140" w:type="dxa"/>
            </w:tcMar>
          </w:tcPr>
          <w:p>
            <w:pPr>
              <w:spacing w:before="0" w:after="0"/>
            </w:pPr>
            <w:r>
              <w:rPr>
                <w:color w:val="282828"/>
                <w:sz w:val="18"/>
              </w:rPr>
              <w:t>Categorical (1-3)</w:t>
            </w:r>
          </w:p>
        </w:tc>
        <w:tc>
          <w:tcPr>
            <w:tcW w:type="dxa" w:w="5472"/>
            <w:shd w:fill="F7F9FB"/>
            <w:tcMar>
              <w:top w:w="80" w:type="dxa"/>
              <w:bottom w:w="80" w:type="dxa"/>
              <w:left w:w="140" w:type="dxa"/>
              <w:right w:w="140" w:type="dxa"/>
            </w:tcMar>
          </w:tcPr>
          <w:p>
            <w:pPr>
              <w:spacing w:before="0" w:after="0"/>
            </w:pPr>
            <w:r>
              <w:rPr>
                <w:color w:val="282828"/>
                <w:sz w:val="18"/>
              </w:rPr>
              <w:t>Slope of the peak exercise ST segment: 1 = upsloping, 2 = flat, 3 = downsloping.</w:t>
            </w:r>
          </w:p>
        </w:tc>
      </w:tr>
      <w:tr>
        <w:tc>
          <w:tcPr>
            <w:tcW w:type="dxa" w:w="1728"/>
            <w:shd w:fill="FFFFFF"/>
            <w:tcMar>
              <w:top w:w="80" w:type="dxa"/>
              <w:bottom w:w="80" w:type="dxa"/>
              <w:left w:w="140" w:type="dxa"/>
              <w:right w:w="140" w:type="dxa"/>
            </w:tcMar>
          </w:tcPr>
          <w:p>
            <w:pPr>
              <w:spacing w:before="0" w:after="0"/>
            </w:pPr>
            <w:r>
              <w:rPr>
                <w:color w:val="282828"/>
                <w:sz w:val="18"/>
              </w:rPr>
              <w:t>ca</w:t>
            </w:r>
          </w:p>
        </w:tc>
        <w:tc>
          <w:tcPr>
            <w:tcW w:type="dxa" w:w="2160"/>
            <w:shd w:fill="FFFFFF"/>
            <w:tcMar>
              <w:top w:w="80" w:type="dxa"/>
              <w:bottom w:w="80" w:type="dxa"/>
              <w:left w:w="140" w:type="dxa"/>
              <w:right w:w="140" w:type="dxa"/>
            </w:tcMar>
          </w:tcPr>
          <w:p>
            <w:pPr>
              <w:spacing w:before="0" w:after="0"/>
            </w:pPr>
            <w:r>
              <w:rPr>
                <w:color w:val="282828"/>
                <w:sz w:val="18"/>
              </w:rPr>
              <w:t>Categorical (0-3)</w:t>
            </w:r>
          </w:p>
        </w:tc>
        <w:tc>
          <w:tcPr>
            <w:tcW w:type="dxa" w:w="5472"/>
            <w:shd w:fill="FFFFFF"/>
            <w:tcMar>
              <w:top w:w="80" w:type="dxa"/>
              <w:bottom w:w="80" w:type="dxa"/>
              <w:left w:w="140" w:type="dxa"/>
              <w:right w:w="140" w:type="dxa"/>
            </w:tcMar>
          </w:tcPr>
          <w:p>
            <w:pPr>
              <w:spacing w:before="0" w:after="0"/>
            </w:pPr>
            <w:r>
              <w:rPr>
                <w:color w:val="282828"/>
                <w:sz w:val="18"/>
              </w:rPr>
              <w:t>Number of major coronary vessels (0-3) colored by cardiac fluoroscopy (Missing in 4 records).</w:t>
            </w:r>
          </w:p>
        </w:tc>
      </w:tr>
      <w:tr>
        <w:tc>
          <w:tcPr>
            <w:tcW w:type="dxa" w:w="1728"/>
            <w:shd w:fill="F7F9FB"/>
            <w:tcMar>
              <w:top w:w="80" w:type="dxa"/>
              <w:bottom w:w="80" w:type="dxa"/>
              <w:left w:w="140" w:type="dxa"/>
              <w:right w:w="140" w:type="dxa"/>
            </w:tcMar>
          </w:tcPr>
          <w:p>
            <w:pPr>
              <w:spacing w:before="0" w:after="0"/>
            </w:pPr>
            <w:r>
              <w:rPr>
                <w:color w:val="282828"/>
                <w:sz w:val="18"/>
              </w:rPr>
              <w:t>thal</w:t>
            </w:r>
          </w:p>
        </w:tc>
        <w:tc>
          <w:tcPr>
            <w:tcW w:type="dxa" w:w="2160"/>
            <w:shd w:fill="F7F9FB"/>
            <w:tcMar>
              <w:top w:w="80" w:type="dxa"/>
              <w:bottom w:w="80" w:type="dxa"/>
              <w:left w:w="140" w:type="dxa"/>
              <w:right w:w="140" w:type="dxa"/>
            </w:tcMar>
          </w:tcPr>
          <w:p>
            <w:pPr>
              <w:spacing w:before="0" w:after="0"/>
            </w:pPr>
            <w:r>
              <w:rPr>
                <w:color w:val="282828"/>
                <w:sz w:val="18"/>
              </w:rPr>
              <w:t>Categorical (3/6/7)</w:t>
            </w:r>
          </w:p>
        </w:tc>
        <w:tc>
          <w:tcPr>
            <w:tcW w:type="dxa" w:w="5472"/>
            <w:shd w:fill="F7F9FB"/>
            <w:tcMar>
              <w:top w:w="80" w:type="dxa"/>
              <w:bottom w:w="80" w:type="dxa"/>
              <w:left w:w="140" w:type="dxa"/>
              <w:right w:w="140" w:type="dxa"/>
            </w:tcMar>
          </w:tcPr>
          <w:p>
            <w:pPr>
              <w:spacing w:before="0" w:after="0"/>
            </w:pPr>
            <w:r>
              <w:rPr>
                <w:color w:val="282828"/>
                <w:sz w:val="18"/>
              </w:rPr>
              <w:t>Thallium scintigraphy status: 3 = normal, 6 = fixed defect, 7 = reversible defect (Missing in 2 records).</w:t>
            </w:r>
          </w:p>
        </w:tc>
      </w:tr>
    </w:tbl>
    <w:p>
      <w:pPr>
        <w:spacing w:before="80"/>
      </w:pPr>
    </w:p>
    <w:p>
      <w:pPr>
        <w:pStyle w:val="Heading2"/>
        <w:keepNext/>
        <w:spacing w:before="200" w:after="60"/>
      </w:pPr>
      <w:r>
        <w:rPr>
          <w:b/>
          <w:color w:val="294A6E"/>
          <w:sz w:val="25"/>
        </w:rPr>
        <w:t>3.2 Data Sanitization and Data Leakage Prevention</w:t>
      </w:r>
    </w:p>
    <w:p>
      <w:pPr>
        <w:spacing w:before="0" w:after="80" w:line="276" w:lineRule="auto"/>
      </w:pPr>
      <w:r>
        <w:rPr>
          <w:color w:val="232323"/>
          <w:sz w:val="20"/>
        </w:rPr>
        <w:t>The automated acquisition pipeline in scripts/download_data.py and src/heart/data.py downloads the raw Cleveland dataset directly from the UCI repository over HTTPS (with fallback override via the HEART_DATA_URL environment variable). In its raw state, the file lacks column headers, uses ? to denote missing values, contains duplicate rows, and records target severity across five integer levels (0 to 4). The data cleaning pipeline applies the following design principles:</w:t>
      </w:r>
    </w:p>
    <w:p>
      <w:pPr>
        <w:pStyle w:val="ListBullet"/>
        <w:spacing w:before="20" w:after="60" w:line="276" w:lineRule="auto"/>
      </w:pPr>
      <w:r>
        <w:rPr>
          <w:b/>
          <w:color w:val="1B365D"/>
        </w:rPr>
        <w:t xml:space="preserve">Target Binarization: </w:t>
      </w:r>
      <w:r>
        <w:rPr>
          <w:color w:val="232323"/>
          <w:sz w:val="20"/>
        </w:rPr>
        <w:t>In accordance with clinical trial conventions and the assignment problem statement, target values 1, 2, 3, and 4 (representing coronary artery diameter narrowing &gt; 50%) are mapped to binary class 1 ('disease presence'), while 0 denotes class 0 ('absence of disease').</w:t>
      </w:r>
    </w:p>
    <w:p>
      <w:pPr>
        <w:pStyle w:val="ListBullet"/>
        <w:spacing w:before="20" w:after="60" w:line="276" w:lineRule="auto"/>
      </w:pPr>
      <w:r>
        <w:rPr>
          <w:b/>
          <w:color w:val="1B365D"/>
        </w:rPr>
        <w:t xml:space="preserve">Preservation of Missing Values (Leakage Prevention): </w:t>
      </w:r>
      <w:r>
        <w:rPr>
          <w:color w:val="232323"/>
          <w:sz w:val="20"/>
        </w:rPr>
        <w:t>Missing values occur exclusively in ca (4 instances) and thal (2 instances). A frequent anti-pattern in amateur machine learning workflows is performing global mean or median imputation on the entire raw dataset prior to train/test partitioning. This induces statistical data leakage, as information from the test/validation folds contaminates the training distributions. In our pipeline, src/heart/data.py deliberately retains these 6 missing values as NaN in data/processed/heart_clean.csv. Imputation is deferred entirely to scikit-learn's ColumnTransformer inside the modeling pipeline, guaranteeing that imputation statistics are learned strictly on training folds.</w:t>
      </w:r>
    </w:p>
    <w:p>
      <w:pPr>
        <w:pStyle w:val="ListBullet"/>
        <w:spacing w:before="20" w:after="60" w:line="276" w:lineRule="auto"/>
      </w:pPr>
      <w:r>
        <w:rPr>
          <w:b/>
          <w:color w:val="1B365D"/>
        </w:rPr>
        <w:t xml:space="preserve">Type Casting &amp; Deduplication: </w:t>
      </w:r>
      <w:r>
        <w:rPr>
          <w:color w:val="232323"/>
          <w:sz w:val="20"/>
        </w:rPr>
        <w:t>All 13 predictors are cast to standard float64 datatypes to maintain an immutable input schema during production inference. Exact duplicate records are audited and pruned.</w:t>
      </w:r>
    </w:p>
    <w:p>
      <w:pPr>
        <w:pStyle w:val="Heading2"/>
        <w:keepNext/>
        <w:spacing w:before="200" w:after="60"/>
      </w:pPr>
      <w:r>
        <w:rPr>
          <w:b/>
          <w:color w:val="294A6E"/>
          <w:sz w:val="25"/>
        </w:rPr>
        <w:t>3.3 Exploratory Data Analysis &amp; Empirical Observations</w:t>
      </w:r>
    </w:p>
    <w:p>
      <w:pPr>
        <w:spacing w:before="0" w:after="80" w:line="276" w:lineRule="auto"/>
      </w:pPr>
      <w:r>
        <w:rPr>
          <w:color w:val="232323"/>
          <w:sz w:val="20"/>
        </w:rPr>
        <w:t>Executing python -m heart.eda generates five publication-quality visual diagnostics in reports/figures/ and writes comprehensive descriptive statistics to reports/eda_summary.txt. Figure 2 visualizes the overall class balance and the complete Pearson correlation heatmap.</w:t>
      </w:r>
    </w:p>
    <w:tbl>
      <w:tblPr>
        <w:tblW w:type="auto" w:w="0"/>
        <w:jc w:val="center"/>
        <w:tblLook w:firstColumn="1" w:firstRow="1" w:lastColumn="0" w:lastRow="0" w:noHBand="0" w:noVBand="1" w:val="04A0"/>
      </w:tblPr>
      <w:tblGrid>
        <w:gridCol w:w="4658"/>
        <w:gridCol w:w="4658"/>
      </w:tblGrid>
      <w:tr>
        <w:tc>
          <w:tcPr>
            <w:tcW w:type="dxa" w:w="403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2468880" cy="2084832"/>
                  <wp:docPr id="2" name="Picture 2"/>
                  <wp:cNvGraphicFramePr>
                    <a:graphicFrameLocks noChangeAspect="1"/>
                  </wp:cNvGraphicFramePr>
                  <a:graphic>
                    <a:graphicData uri="http://schemas.openxmlformats.org/drawingml/2006/picture">
                      <pic:pic>
                        <pic:nvPicPr>
                          <pic:cNvPr id="0" name="eda_class_balance.png"/>
                          <pic:cNvPicPr/>
                        </pic:nvPicPr>
                        <pic:blipFill>
                          <a:blip r:embed="rId10"/>
                          <a:stretch>
                            <a:fillRect/>
                          </a:stretch>
                        </pic:blipFill>
                        <pic:spPr>
                          <a:xfrm>
                            <a:off x="0" y="0"/>
                            <a:ext cx="2468880" cy="2084832"/>
                          </a:xfrm>
                          <a:prstGeom prst="rect"/>
                        </pic:spPr>
                      </pic:pic>
                    </a:graphicData>
                  </a:graphic>
                </wp:inline>
              </w:drawing>
            </w:r>
          </w:p>
        </w:tc>
        <w:tc>
          <w:tcPr>
            <w:tcW w:type="dxa" w:w="5184"/>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200400" cy="2667000"/>
                  <wp:docPr id="3" name="Picture 3"/>
                  <wp:cNvGraphicFramePr>
                    <a:graphicFrameLocks noChangeAspect="1"/>
                  </wp:cNvGraphicFramePr>
                  <a:graphic>
                    <a:graphicData uri="http://schemas.openxmlformats.org/drawingml/2006/picture">
                      <pic:pic>
                        <pic:nvPicPr>
                          <pic:cNvPr id="0" name="eda_correlation_heatmap.png"/>
                          <pic:cNvPicPr/>
                        </pic:nvPicPr>
                        <pic:blipFill>
                          <a:blip r:embed="rId11"/>
                          <a:stretch>
                            <a:fillRect/>
                          </a:stretch>
                        </pic:blipFill>
                        <pic:spPr>
                          <a:xfrm>
                            <a:off x="0" y="0"/>
                            <a:ext cx="3200400" cy="2667000"/>
                          </a:xfrm>
                          <a:prstGeom prst="rect"/>
                        </pic:spPr>
                      </pic:pic>
                    </a:graphicData>
                  </a:graphic>
                </wp:inline>
              </w:drawing>
            </w:r>
          </w:p>
        </w:tc>
      </w:tr>
    </w:tbl>
    <w:p>
      <w:pPr>
        <w:spacing w:before="40" w:after="120"/>
        <w:jc w:val="center"/>
      </w:pPr>
      <w:r>
        <w:rPr>
          <w:i/>
          <w:color w:val="505050"/>
          <w:sz w:val="17"/>
        </w:rPr>
        <w:t>Figure 2: Diagnostic EDA visualizations — (Left) Target class distribution; (Right) Pearson correlation matrix across all variables.</w:t>
      </w:r>
    </w:p>
    <w:p>
      <w:pPr>
        <w:spacing w:before="0" w:after="80" w:line="276" w:lineRule="auto"/>
      </w:pPr>
      <w:r>
        <w:rPr>
          <w:b/>
          <w:color w:val="1B365D"/>
        </w:rPr>
        <w:t xml:space="preserve">Clinical &amp; Statistical Insights: </w:t>
      </w:r>
      <w:r>
        <w:rPr>
          <w:color w:val="232323"/>
          <w:sz w:val="20"/>
        </w:rPr>
        <w:t>Key empirical findings from the exploratory analysis include:</w:t>
      </w:r>
    </w:p>
    <w:p>
      <w:pPr>
        <w:pStyle w:val="ListBullet"/>
        <w:spacing w:before="20" w:after="60" w:line="276" w:lineRule="auto"/>
      </w:pPr>
      <w:r>
        <w:rPr>
          <w:b/>
          <w:color w:val="1B365D"/>
        </w:rPr>
        <w:t xml:space="preserve">Class Distribution: </w:t>
      </w:r>
      <w:r>
        <w:rPr>
          <w:color w:val="232323"/>
          <w:sz w:val="20"/>
        </w:rPr>
        <w:t>The cohort contains 164 patients without disease (54.1%) and 139 patients with heart disease (45.9%). Because the classes are well-balanced, accuracy serves as a legitimate evaluation metric, though medical screening dictates that Recall (Sensitivity) must be prioritized to avoid under-diagnosing critically ill patients.</w:t>
      </w:r>
    </w:p>
    <w:p>
      <w:pPr>
        <w:pStyle w:val="ListBullet"/>
        <w:spacing w:before="20" w:after="60" w:line="276" w:lineRule="auto"/>
      </w:pPr>
      <w:r>
        <w:rPr>
          <w:b/>
          <w:color w:val="1B365D"/>
        </w:rPr>
        <w:t xml:space="preserve">Heart Rate Dynamics (thalach): </w:t>
      </w:r>
      <w:r>
        <w:rPr>
          <w:color w:val="232323"/>
          <w:sz w:val="20"/>
        </w:rPr>
        <w:t>Maximum exercise heart rate exhibits a pronounced negative correlation with heart disease (r = -0.42). In healthy subjects, median thalach reaches 158.0 bpm (IQR: 148-169 bpm), reflecting robust cardiovascular chronotropic reserve. In contrast, diseased patients exhibit a lower median of 142.0 bpm (IQR: 125-156 bpm), indicating exercise intolerance and chronotropic incompetence.</w:t>
      </w:r>
    </w:p>
    <w:p>
      <w:pPr>
        <w:pStyle w:val="ListBullet"/>
        <w:spacing w:before="20" w:after="60" w:line="276" w:lineRule="auto"/>
      </w:pPr>
      <w:r>
        <w:rPr>
          <w:b/>
          <w:color w:val="1B365D"/>
        </w:rPr>
        <w:t xml:space="preserve">Exercise-Induced ST Depression (oldpeak): </w:t>
      </w:r>
      <w:r>
        <w:rPr>
          <w:color w:val="232323"/>
          <w:sz w:val="20"/>
        </w:rPr>
        <w:t>ST-segment depression shows a strong positive correlation with disease (r = +0.42). Healthy individuals exhibit near-zero median ST depression (0.0 mm), whereas patients with coronary artery disease exhibit a median ST depression of 1.40 mm (with extreme values reaching 6.2 mm).</w:t>
      </w:r>
    </w:p>
    <w:p>
      <w:pPr>
        <w:pStyle w:val="ListBullet"/>
        <w:spacing w:before="20" w:after="60" w:line="276" w:lineRule="auto"/>
      </w:pPr>
      <w:r>
        <w:rPr>
          <w:b/>
          <w:color w:val="1B365D"/>
        </w:rPr>
        <w:t xml:space="preserve">Chest Pain Presentation (cp): </w:t>
      </w:r>
      <w:r>
        <w:rPr>
          <w:color w:val="232323"/>
          <w:sz w:val="20"/>
        </w:rPr>
        <w:t>Patients exhibiting asymptomatic chest pain (cp = 4) have a dramatically higher incidence of coronary artery disease (&gt;72%) than patients presenting with typical angina (cp = 1) or non-anginal pain (cp = 3). This reflects the reality that advanced coronary obstruction frequently manifests insidiously.</w:t>
      </w:r>
    </w:p>
    <w:p>
      <w:pPr>
        <w:pStyle w:val="ListBullet"/>
        <w:spacing w:before="20" w:after="60" w:line="276" w:lineRule="auto"/>
      </w:pPr>
      <w:r>
        <w:rPr>
          <w:b/>
          <w:color w:val="1B365D"/>
        </w:rPr>
        <w:t xml:space="preserve">Absence of Severe Multicollinearity: </w:t>
      </w:r>
      <w:r>
        <w:rPr>
          <w:color w:val="232323"/>
          <w:sz w:val="20"/>
        </w:rPr>
        <w:t>No pair of independent features exhibits collinearity exceeding |r| = 0.58 (observed between slope and oldpeak). This confirms that regularized linear models will not suffer from numerical instability or coefficient inflation.</w:t>
      </w:r>
    </w:p>
    <w:p>
      <w:pPr>
        <w:pStyle w:val="Heading1"/>
        <w:keepNext/>
        <w:spacing w:before="280" w:after="80"/>
      </w:pPr>
      <w:r>
        <w:rPr>
          <w:b/>
          <w:color w:val="1B365D"/>
          <w:sz w:val="30"/>
        </w:rPr>
        <w:t>4. Feature Engineering and Model Development</w:t>
      </w:r>
    </w:p>
    <w:p>
      <w:pPr>
        <w:pStyle w:val="Heading2"/>
        <w:keepNext/>
        <w:spacing w:before="200" w:after="60"/>
      </w:pPr>
      <w:r>
        <w:rPr>
          <w:b/>
          <w:color w:val="294A6E"/>
          <w:sz w:val="25"/>
        </w:rPr>
        <w:t>4.1 Preprocessing Pipeline Design</w:t>
      </w:r>
    </w:p>
    <w:p>
      <w:pPr>
        <w:spacing w:before="0" w:after="80" w:line="276" w:lineRule="auto"/>
      </w:pPr>
      <w:r>
        <w:rPr>
          <w:color w:val="232323"/>
          <w:sz w:val="20"/>
        </w:rPr>
        <w:t>To guarantee that feature engineering is fully reproducible, modular, and immune to train-serving skew, all transformations are encapsulated in a single scikit-learn ColumnTransformer constructed in src/heart/features.py. The pipeline branches into two parallel paths:</w:t>
      </w:r>
    </w:p>
    <w:p>
      <w:pPr>
        <w:pStyle w:val="ListBullet"/>
        <w:spacing w:before="20" w:after="60" w:line="276" w:lineRule="auto"/>
      </w:pPr>
      <w:r>
        <w:rPr>
          <w:b/>
          <w:color w:val="1B365D"/>
        </w:rPr>
        <w:t xml:space="preserve">Continuous Numeric Branch (age, trestbps, chol, thalach, oldpeak): </w:t>
      </w:r>
      <w:r>
        <w:rPr>
          <w:color w:val="232323"/>
          <w:sz w:val="20"/>
        </w:rPr>
        <w:t>Applies median imputation via SimpleImputer(strategy='median') to handle any missing values robustly against outliers, followed by StandardScaler() to rescale variables to zero mean and unit variance. Standardizing continuous variables is strictly required for regularized logistic regression, preventing features with large numerical ranges (e.g., cholesterol in mg/dl) from dominating penalties.</w:t>
      </w:r>
    </w:p>
    <w:p>
      <w:pPr>
        <w:pStyle w:val="ListBullet"/>
        <w:spacing w:before="20" w:after="60" w:line="276" w:lineRule="auto"/>
      </w:pPr>
      <w:r>
        <w:rPr>
          <w:b/>
          <w:color w:val="1B365D"/>
        </w:rPr>
        <w:t xml:space="preserve">Categorical Branch (sex, cp, fbs, restecg, exang, slope, ca, thal): </w:t>
      </w:r>
      <w:r>
        <w:rPr>
          <w:color w:val="232323"/>
          <w:sz w:val="20"/>
        </w:rPr>
        <w:t>Applies mode imputation via SimpleImputer(strategy='most_frequent'), followed by OneHotEncoder(handle_unknown='ignore'). Setting handle_unknown='ignore' is a critical production-readiness safeguard: if an unexpected or unobserved category code arrives at the API endpoint during inference, the encoder gracefully generates zero vectors rather than raising an unhandled exception.</w:t>
      </w:r>
    </w:p>
    <w:p>
      <w:pPr>
        <w:pStyle w:val="Heading2"/>
        <w:keepNext/>
        <w:spacing w:before="200" w:after="60"/>
      </w:pPr>
      <w:r>
        <w:rPr>
          <w:b/>
          <w:color w:val="294A6E"/>
          <w:sz w:val="25"/>
        </w:rPr>
        <w:t>4.2 Candidate Classifiers and Inductive Biases</w:t>
      </w:r>
    </w:p>
    <w:p>
      <w:pPr>
        <w:spacing w:before="0" w:after="80" w:line="276" w:lineRule="auto"/>
      </w:pPr>
      <w:r>
        <w:rPr>
          <w:color w:val="232323"/>
          <w:sz w:val="20"/>
        </w:rPr>
        <w:t>Three distinct classification algorithms spanning linear, bagged ensemble, and boosted ensemble paradigms were trained and evaluated:</w:t>
      </w:r>
    </w:p>
    <w:p>
      <w:pPr>
        <w:pStyle w:val="ListBullet"/>
        <w:spacing w:before="20" w:after="60" w:line="276" w:lineRule="auto"/>
      </w:pPr>
      <w:r>
        <w:rPr>
          <w:b/>
          <w:color w:val="1B365D"/>
        </w:rPr>
        <w:t xml:space="preserve">1. L1/L2 Regularized Logistic Regression: </w:t>
      </w:r>
      <w:r>
        <w:rPr>
          <w:color w:val="232323"/>
          <w:sz w:val="20"/>
        </w:rPr>
        <w:t>Serves as an interpretable, mathematically rigorous baseline. Optimizes cross-entropy loss under either L1 (Lasso) or L2 (Ridge) penalties using the liblinear coordinate descent solver. Logistic regression provides well-calibrated posterior probabilities P(Y=1|X) and straightforward clinical odds ratio interpretation.</w:t>
      </w:r>
    </w:p>
    <w:p>
      <w:pPr>
        <w:pStyle w:val="ListBullet"/>
        <w:spacing w:before="20" w:after="60" w:line="276" w:lineRule="auto"/>
      </w:pPr>
      <w:r>
        <w:rPr>
          <w:b/>
          <w:color w:val="1B365D"/>
        </w:rPr>
        <w:t xml:space="preserve">2. Random Forest Classifier: </w:t>
      </w:r>
      <w:r>
        <w:rPr>
          <w:color w:val="232323"/>
          <w:sz w:val="20"/>
        </w:rPr>
        <w:t>An ensemble of de-correlated decision trees constructed via bootstrap aggregating (bagging) and random subspace feature selection. Random forests capture non-linear feature interactions and high-order threshold crossings without requiring monotonic scaling assumptions.</w:t>
      </w:r>
    </w:p>
    <w:p>
      <w:pPr>
        <w:pStyle w:val="ListBullet"/>
        <w:spacing w:before="20" w:after="60" w:line="276" w:lineRule="auto"/>
      </w:pPr>
      <w:r>
        <w:rPr>
          <w:b/>
          <w:color w:val="1B365D"/>
        </w:rPr>
        <w:t xml:space="preserve">3. Gradient Boosting Classifier: </w:t>
      </w:r>
      <w:r>
        <w:rPr>
          <w:color w:val="232323"/>
          <w:sz w:val="20"/>
        </w:rPr>
        <w:t>A sequential ensemble that iteratively fits shallow regression trees to the pseudo-residuals of the negative binomial log-likelihood loss. Gradient boosting is highly effective at reducing bias and modeling subtle non-linear boundaries.</w:t>
      </w:r>
    </w:p>
    <w:p>
      <w:pPr>
        <w:spacing w:before="0" w:after="80" w:line="276" w:lineRule="auto"/>
      </w:pPr>
      <w:r>
        <w:rPr>
          <w:b/>
          <w:color w:val="1B365D"/>
        </w:rPr>
        <w:t xml:space="preserve">Hyperparameter Tuning Grid: </w:t>
      </w:r>
      <w:r>
        <w:rPr>
          <w:color w:val="232323"/>
          <w:sz w:val="20"/>
        </w:rPr>
        <w:t>Table 3 details the hyperparameter search spaces explored during grid search optimization.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58"/>
        <w:gridCol w:w="4658"/>
      </w:tblGrid>
      <w:tr>
        <w:tc>
          <w:tcPr>
            <w:tcW w:type="dxa" w:w="3168"/>
            <w:shd w:fill="1B365D"/>
            <w:tcMar>
              <w:top w:w="120" w:type="dxa"/>
              <w:bottom w:w="120" w:type="dxa"/>
              <w:left w:w="140" w:type="dxa"/>
              <w:right w:w="140" w:type="dxa"/>
            </w:tcMar>
          </w:tcPr>
          <w:p>
            <w:pPr>
              <w:spacing w:before="0" w:after="0"/>
            </w:pPr>
            <w:r>
              <w:rPr>
                <w:b/>
                <w:color w:val="FFFFFF"/>
                <w:sz w:val="19"/>
              </w:rPr>
              <w:t>Model Family</w:t>
            </w:r>
          </w:p>
        </w:tc>
        <w:tc>
          <w:tcPr>
            <w:tcW w:type="dxa" w:w="6192"/>
            <w:shd w:fill="1B365D"/>
            <w:tcMar>
              <w:top w:w="120" w:type="dxa"/>
              <w:bottom w:w="120" w:type="dxa"/>
              <w:left w:w="140" w:type="dxa"/>
              <w:right w:w="140" w:type="dxa"/>
            </w:tcMar>
          </w:tcPr>
          <w:p>
            <w:pPr>
              <w:spacing w:before="0" w:after="0"/>
            </w:pPr>
            <w:r>
              <w:rPr>
                <w:b/>
                <w:color w:val="FFFFFF"/>
                <w:sz w:val="19"/>
              </w:rPr>
              <w:t>Hyperparameter Search Grid (GridSearchCV)</w:t>
            </w:r>
          </w:p>
        </w:tc>
      </w:tr>
      <w:tr>
        <w:tc>
          <w:tcPr>
            <w:tcW w:type="dxa" w:w="3168"/>
            <w:shd w:fill="F7F9FB"/>
            <w:tcMar>
              <w:top w:w="80" w:type="dxa"/>
              <w:bottom w:w="80" w:type="dxa"/>
              <w:left w:w="140" w:type="dxa"/>
              <w:right w:w="140" w:type="dxa"/>
            </w:tcMar>
          </w:tcPr>
          <w:p>
            <w:pPr>
              <w:spacing w:before="0" w:after="0"/>
            </w:pPr>
            <w:r>
              <w:rPr>
                <w:color w:val="282828"/>
                <w:sz w:val="18"/>
              </w:rPr>
              <w:t>Logistic Regression</w:t>
            </w:r>
          </w:p>
        </w:tc>
        <w:tc>
          <w:tcPr>
            <w:tcW w:type="dxa" w:w="6192"/>
            <w:shd w:fill="F7F9FB"/>
            <w:tcMar>
              <w:top w:w="80" w:type="dxa"/>
              <w:bottom w:w="80" w:type="dxa"/>
              <w:left w:w="140" w:type="dxa"/>
              <w:right w:w="140" w:type="dxa"/>
            </w:tcMar>
          </w:tcPr>
          <w:p>
            <w:pPr>
              <w:spacing w:before="0" w:after="0"/>
            </w:pPr>
            <w:r>
              <w:rPr>
                <w:color w:val="282828"/>
                <w:sz w:val="18"/>
              </w:rPr>
              <w:t>Inverse regularization C in {0.01, 0.1, 1.0, 10.0}; Penalty in {L1, L2}; Solver = liblinear, max_iter = 2000.</w:t>
            </w:r>
          </w:p>
        </w:tc>
      </w:tr>
      <w:tr>
        <w:tc>
          <w:tcPr>
            <w:tcW w:type="dxa" w:w="3168"/>
            <w:shd w:fill="FFFFFF"/>
            <w:tcMar>
              <w:top w:w="80" w:type="dxa"/>
              <w:bottom w:w="80" w:type="dxa"/>
              <w:left w:w="140" w:type="dxa"/>
              <w:right w:w="140" w:type="dxa"/>
            </w:tcMar>
          </w:tcPr>
          <w:p>
            <w:pPr>
              <w:spacing w:before="0" w:after="0"/>
            </w:pPr>
            <w:r>
              <w:rPr>
                <w:color w:val="282828"/>
                <w:sz w:val="18"/>
              </w:rPr>
              <w:t>Random Forest</w:t>
            </w:r>
          </w:p>
        </w:tc>
        <w:tc>
          <w:tcPr>
            <w:tcW w:type="dxa" w:w="6192"/>
            <w:shd w:fill="FFFFFF"/>
            <w:tcMar>
              <w:top w:w="80" w:type="dxa"/>
              <w:bottom w:w="80" w:type="dxa"/>
              <w:left w:w="140" w:type="dxa"/>
              <w:right w:w="140" w:type="dxa"/>
            </w:tcMar>
          </w:tcPr>
          <w:p>
            <w:pPr>
              <w:spacing w:before="0" w:after="0"/>
            </w:pPr>
            <w:r>
              <w:rPr>
                <w:color w:val="282828"/>
                <w:sz w:val="18"/>
              </w:rPr>
              <w:t>n_estimators in {100, 300}; max_depth in {3, 6, None}; min_samples_leaf in {1, 3, 5}; criterion = gini.</w:t>
            </w:r>
          </w:p>
        </w:tc>
      </w:tr>
      <w:tr>
        <w:tc>
          <w:tcPr>
            <w:tcW w:type="dxa" w:w="3168"/>
            <w:shd w:fill="F7F9FB"/>
            <w:tcMar>
              <w:top w:w="80" w:type="dxa"/>
              <w:bottom w:w="80" w:type="dxa"/>
              <w:left w:w="140" w:type="dxa"/>
              <w:right w:w="140" w:type="dxa"/>
            </w:tcMar>
          </w:tcPr>
          <w:p>
            <w:pPr>
              <w:spacing w:before="0" w:after="0"/>
            </w:pPr>
            <w:r>
              <w:rPr>
                <w:color w:val="282828"/>
                <w:sz w:val="18"/>
              </w:rPr>
              <w:t>Gradient Boosting</w:t>
            </w:r>
          </w:p>
        </w:tc>
        <w:tc>
          <w:tcPr>
            <w:tcW w:type="dxa" w:w="6192"/>
            <w:shd w:fill="F7F9FB"/>
            <w:tcMar>
              <w:top w:w="80" w:type="dxa"/>
              <w:bottom w:w="80" w:type="dxa"/>
              <w:left w:w="140" w:type="dxa"/>
              <w:right w:w="140" w:type="dxa"/>
            </w:tcMar>
          </w:tcPr>
          <w:p>
            <w:pPr>
              <w:spacing w:before="0" w:after="0"/>
            </w:pPr>
            <w:r>
              <w:rPr>
                <w:color w:val="282828"/>
                <w:sz w:val="18"/>
              </w:rPr>
              <w:t>n_estimators in {100, 200}; learning_rate in {0.05, 0.1}; max_depth in {2, 3}; subsample = 1.0.</w:t>
            </w:r>
          </w:p>
        </w:tc>
      </w:tr>
    </w:tbl>
    <w:p>
      <w:pPr>
        <w:spacing w:before="80"/>
      </w:pPr>
    </w:p>
    <w:p>
      <w:pPr>
        <w:pStyle w:val="Heading2"/>
        <w:keepNext/>
        <w:spacing w:before="200" w:after="60"/>
      </w:pPr>
      <w:r>
        <w:rPr>
          <w:b/>
          <w:color w:val="294A6E"/>
          <w:sz w:val="25"/>
        </w:rPr>
        <w:t>4.3 Rigorous Evaluation Protocol &amp; Experimental Results</w:t>
      </w:r>
    </w:p>
    <w:p>
      <w:pPr>
        <w:spacing w:before="0" w:after="80" w:line="276" w:lineRule="auto"/>
      </w:pPr>
      <w:r>
        <w:rPr>
          <w:color w:val="232323"/>
          <w:sz w:val="20"/>
        </w:rPr>
        <w:t>In small clinical cohorts (N ~ 300), standard k-fold cross-validation suffers from substantial selection bias: selecting the best hyperparameters using the same validation folds used to report performance yields over-optimistic error estimates (Varma &amp; Simon, 2006; Cawley &amp; Talbot, 2010). To provide a statistically honest appraisal of generalization capability, our evaluation protocol implements a two-level nested validation design:</w:t>
      </w:r>
    </w:p>
    <w:p>
      <w:pPr>
        <w:pStyle w:val="ListBullet"/>
        <w:spacing w:before="20" w:after="60" w:line="276" w:lineRule="auto"/>
      </w:pPr>
      <w:r>
        <w:rPr>
          <w:b/>
          <w:color w:val="1B365D"/>
        </w:rPr>
        <w:t xml:space="preserve">Stratified Hold-out Partition: </w:t>
      </w:r>
      <w:r>
        <w:rPr>
          <w:color w:val="232323"/>
          <w:sz w:val="20"/>
        </w:rPr>
        <w:t>20% of the dataset (61 patients: 33 healthy, 28 diseased) is partitioned using stratified sampling (random_state=42) and locked away completely. It is never accessed during preprocessing, cross-validation, or hyperparameter tuning.</w:t>
      </w:r>
    </w:p>
    <w:p>
      <w:pPr>
        <w:pStyle w:val="ListBullet"/>
        <w:spacing w:before="20" w:after="60" w:line="276" w:lineRule="auto"/>
      </w:pPr>
      <w:r>
        <w:rPr>
          <w:b/>
          <w:color w:val="1B365D"/>
        </w:rPr>
        <w:t xml:space="preserve">Nested Cross-Validation (5 Outer Folds x 3 Inner Folds): </w:t>
      </w:r>
      <w:r>
        <w:rPr>
          <w:color w:val="232323"/>
          <w:sz w:val="20"/>
        </w:rPr>
        <w:t>On the remaining 80% training set (242 patients), nested cross-validation is executed. The inner 3-fold loop executes GridSearchCV to optimize ROC-AUC across the parameter grid. The outer 5-fold loop scores the refitted estimator on entirely unseen data. The outer-loop scores (Accuracy, Precision, Recall, F1, and ROC-AUC) reflect true generalization capability.</w:t>
      </w:r>
    </w:p>
    <w:p>
      <w:pPr>
        <w:spacing w:before="0" w:after="80" w:line="276" w:lineRule="auto"/>
      </w:pPr>
      <w:r>
        <w:rPr>
          <w:b/>
          <w:color w:val="1B365D"/>
        </w:rPr>
        <w:t xml:space="preserve">Comparative Performance Table: </w:t>
      </w:r>
      <w:r>
        <w:rPr>
          <w:color w:val="232323"/>
          <w:sz w:val="20"/>
        </w:rPr>
        <w:t>Table 4 documents the verified experimental results obtained from our execution across all candidate models and the hold-out test set.</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53"/>
        <w:gridCol w:w="1553"/>
        <w:gridCol w:w="1553"/>
        <w:gridCol w:w="1553"/>
        <w:gridCol w:w="1553"/>
        <w:gridCol w:w="1553"/>
      </w:tblGrid>
      <w:tr>
        <w:tc>
          <w:tcPr>
            <w:tcW w:type="dxa" w:w="2592"/>
            <w:shd w:fill="1B365D"/>
            <w:tcMar>
              <w:top w:w="120" w:type="dxa"/>
              <w:bottom w:w="120" w:type="dxa"/>
              <w:left w:w="140" w:type="dxa"/>
              <w:right w:w="140" w:type="dxa"/>
            </w:tcMar>
          </w:tcPr>
          <w:p>
            <w:pPr>
              <w:spacing w:before="0" w:after="0"/>
            </w:pPr>
            <w:r>
              <w:rPr>
                <w:b/>
                <w:color w:val="FFFFFF"/>
                <w:sz w:val="19"/>
              </w:rPr>
              <w:t>Model (Nested CV)</w:t>
            </w:r>
          </w:p>
        </w:tc>
        <w:tc>
          <w:tcPr>
            <w:tcW w:type="dxa" w:w="1296"/>
            <w:shd w:fill="1B365D"/>
            <w:tcMar>
              <w:top w:w="120" w:type="dxa"/>
              <w:bottom w:w="120" w:type="dxa"/>
              <w:left w:w="140" w:type="dxa"/>
              <w:right w:w="140" w:type="dxa"/>
            </w:tcMar>
          </w:tcPr>
          <w:p>
            <w:pPr>
              <w:spacing w:before="0" w:after="0"/>
            </w:pPr>
            <w:r>
              <w:rPr>
                <w:b/>
                <w:color w:val="FFFFFF"/>
                <w:sz w:val="19"/>
              </w:rPr>
              <w:t>Accuracy</w:t>
            </w:r>
          </w:p>
        </w:tc>
        <w:tc>
          <w:tcPr>
            <w:tcW w:type="dxa" w:w="1296"/>
            <w:shd w:fill="1B365D"/>
            <w:tcMar>
              <w:top w:w="120" w:type="dxa"/>
              <w:bottom w:w="120" w:type="dxa"/>
              <w:left w:w="140" w:type="dxa"/>
              <w:right w:w="140" w:type="dxa"/>
            </w:tcMar>
          </w:tcPr>
          <w:p>
            <w:pPr>
              <w:spacing w:before="0" w:after="0"/>
            </w:pPr>
            <w:r>
              <w:rPr>
                <w:b/>
                <w:color w:val="FFFFFF"/>
                <w:sz w:val="19"/>
              </w:rPr>
              <w:t>Precision</w:t>
            </w:r>
          </w:p>
        </w:tc>
        <w:tc>
          <w:tcPr>
            <w:tcW w:type="dxa" w:w="1296"/>
            <w:shd w:fill="1B365D"/>
            <w:tcMar>
              <w:top w:w="120" w:type="dxa"/>
              <w:bottom w:w="120" w:type="dxa"/>
              <w:left w:w="140" w:type="dxa"/>
              <w:right w:w="140" w:type="dxa"/>
            </w:tcMar>
          </w:tcPr>
          <w:p>
            <w:pPr>
              <w:spacing w:before="0" w:after="0"/>
            </w:pPr>
            <w:r>
              <w:rPr>
                <w:b/>
                <w:color w:val="FFFFFF"/>
                <w:sz w:val="19"/>
              </w:rPr>
              <w:t>Recall</w:t>
            </w:r>
          </w:p>
        </w:tc>
        <w:tc>
          <w:tcPr>
            <w:tcW w:type="dxa" w:w="1296"/>
            <w:shd w:fill="1B365D"/>
            <w:tcMar>
              <w:top w:w="120" w:type="dxa"/>
              <w:bottom w:w="120" w:type="dxa"/>
              <w:left w:w="140" w:type="dxa"/>
              <w:right w:w="140" w:type="dxa"/>
            </w:tcMar>
          </w:tcPr>
          <w:p>
            <w:pPr>
              <w:spacing w:before="0" w:after="0"/>
            </w:pPr>
            <w:r>
              <w:rPr>
                <w:b/>
                <w:color w:val="FFFFFF"/>
                <w:sz w:val="19"/>
              </w:rPr>
              <w:t>F1-Score</w:t>
            </w:r>
          </w:p>
        </w:tc>
        <w:tc>
          <w:tcPr>
            <w:tcW w:type="dxa" w:w="1584"/>
            <w:shd w:fill="1B365D"/>
            <w:tcMar>
              <w:top w:w="120" w:type="dxa"/>
              <w:bottom w:w="120" w:type="dxa"/>
              <w:left w:w="140" w:type="dxa"/>
              <w:right w:w="140" w:type="dxa"/>
            </w:tcMar>
          </w:tcPr>
          <w:p>
            <w:pPr>
              <w:spacing w:before="0" w:after="0"/>
            </w:pPr>
            <w:r>
              <w:rPr>
                <w:b/>
                <w:color w:val="FFFFFF"/>
                <w:sz w:val="19"/>
              </w:rPr>
              <w:t>ROC-AUC</w:t>
            </w:r>
          </w:p>
        </w:tc>
      </w:tr>
      <w:tr>
        <w:tc>
          <w:tcPr>
            <w:tcW w:type="dxa" w:w="2592"/>
            <w:shd w:fill="FFFFFF"/>
            <w:tcMar>
              <w:top w:w="80" w:type="dxa"/>
              <w:bottom w:w="80" w:type="dxa"/>
              <w:left w:w="140" w:type="dxa"/>
              <w:right w:w="140" w:type="dxa"/>
            </w:tcMar>
          </w:tcPr>
          <w:p>
            <w:pPr>
              <w:spacing w:before="0" w:after="0"/>
            </w:pPr>
            <w:r>
              <w:rPr>
                <w:color w:val="282828"/>
                <w:sz w:val="18"/>
              </w:rPr>
              <w:t>Logistic Regression</w:t>
            </w:r>
          </w:p>
        </w:tc>
        <w:tc>
          <w:tcPr>
            <w:tcW w:type="dxa" w:w="1296"/>
            <w:shd w:fill="FFFFFF"/>
            <w:tcMar>
              <w:top w:w="80" w:type="dxa"/>
              <w:bottom w:w="80" w:type="dxa"/>
              <w:left w:w="140" w:type="dxa"/>
              <w:right w:w="140" w:type="dxa"/>
            </w:tcMar>
          </w:tcPr>
          <w:p>
            <w:pPr>
              <w:spacing w:before="0" w:after="0"/>
            </w:pPr>
            <w:r>
              <w:rPr>
                <w:color w:val="282828"/>
                <w:sz w:val="18"/>
              </w:rPr>
              <w:t>0.8305 ± 0.016</w:t>
            </w:r>
          </w:p>
        </w:tc>
        <w:tc>
          <w:tcPr>
            <w:tcW w:type="dxa" w:w="1296"/>
            <w:shd w:fill="FFFFFF"/>
            <w:tcMar>
              <w:top w:w="80" w:type="dxa"/>
              <w:bottom w:w="80" w:type="dxa"/>
              <w:left w:w="140" w:type="dxa"/>
              <w:right w:w="140" w:type="dxa"/>
            </w:tcMar>
          </w:tcPr>
          <w:p>
            <w:pPr>
              <w:spacing w:before="0" w:after="0"/>
            </w:pPr>
            <w:r>
              <w:rPr>
                <w:color w:val="282828"/>
                <w:sz w:val="18"/>
              </w:rPr>
              <w:t>0.8594 ± 0.067</w:t>
            </w:r>
          </w:p>
        </w:tc>
        <w:tc>
          <w:tcPr>
            <w:tcW w:type="dxa" w:w="1296"/>
            <w:shd w:fill="FFFFFF"/>
            <w:tcMar>
              <w:top w:w="80" w:type="dxa"/>
              <w:bottom w:w="80" w:type="dxa"/>
              <w:left w:w="140" w:type="dxa"/>
              <w:right w:w="140" w:type="dxa"/>
            </w:tcMar>
          </w:tcPr>
          <w:p>
            <w:pPr>
              <w:spacing w:before="0" w:after="0"/>
            </w:pPr>
            <w:r>
              <w:rPr>
                <w:color w:val="282828"/>
                <w:sz w:val="18"/>
              </w:rPr>
              <w:t>0.7652 ± 0.055</w:t>
            </w:r>
          </w:p>
        </w:tc>
        <w:tc>
          <w:tcPr>
            <w:tcW w:type="dxa" w:w="1296"/>
            <w:shd w:fill="FFFFFF"/>
            <w:tcMar>
              <w:top w:w="80" w:type="dxa"/>
              <w:bottom w:w="80" w:type="dxa"/>
              <w:left w:w="140" w:type="dxa"/>
              <w:right w:w="140" w:type="dxa"/>
            </w:tcMar>
          </w:tcPr>
          <w:p>
            <w:pPr>
              <w:spacing w:before="0" w:after="0"/>
            </w:pPr>
            <w:r>
              <w:rPr>
                <w:color w:val="282828"/>
                <w:sz w:val="18"/>
              </w:rPr>
              <w:t>0.8054 ± 0.015</w:t>
            </w:r>
          </w:p>
        </w:tc>
        <w:tc>
          <w:tcPr>
            <w:tcW w:type="dxa" w:w="1584"/>
            <w:shd w:fill="FFFFFF"/>
            <w:tcMar>
              <w:top w:w="80" w:type="dxa"/>
              <w:bottom w:w="80" w:type="dxa"/>
              <w:left w:w="140" w:type="dxa"/>
              <w:right w:w="140" w:type="dxa"/>
            </w:tcMar>
          </w:tcPr>
          <w:p>
            <w:pPr>
              <w:spacing w:before="0" w:after="0"/>
            </w:pPr>
            <w:r>
              <w:rPr>
                <w:color w:val="282828"/>
                <w:sz w:val="18"/>
              </w:rPr>
              <w:t>0.9018 ± 0.016</w:t>
            </w:r>
          </w:p>
        </w:tc>
      </w:tr>
      <w:tr>
        <w:tc>
          <w:tcPr>
            <w:tcW w:type="dxa" w:w="2592"/>
            <w:shd w:fill="FFFFFF"/>
            <w:tcMar>
              <w:top w:w="80" w:type="dxa"/>
              <w:bottom w:w="80" w:type="dxa"/>
              <w:left w:w="140" w:type="dxa"/>
              <w:right w:w="140" w:type="dxa"/>
            </w:tcMar>
          </w:tcPr>
          <w:p>
            <w:pPr>
              <w:spacing w:before="0" w:after="0"/>
            </w:pPr>
            <w:r>
              <w:rPr>
                <w:color w:val="282828"/>
                <w:sz w:val="18"/>
              </w:rPr>
              <w:t>Random Forest</w:t>
            </w:r>
          </w:p>
        </w:tc>
        <w:tc>
          <w:tcPr>
            <w:tcW w:type="dxa" w:w="1296"/>
            <w:shd w:fill="FFFFFF"/>
            <w:tcMar>
              <w:top w:w="80" w:type="dxa"/>
              <w:bottom w:w="80" w:type="dxa"/>
              <w:left w:w="140" w:type="dxa"/>
              <w:right w:w="140" w:type="dxa"/>
            </w:tcMar>
          </w:tcPr>
          <w:p>
            <w:pPr>
              <w:spacing w:before="0" w:after="0"/>
            </w:pPr>
            <w:r>
              <w:rPr>
                <w:color w:val="282828"/>
                <w:sz w:val="18"/>
              </w:rPr>
              <w:t>0.8096 ± 0.045</w:t>
            </w:r>
          </w:p>
        </w:tc>
        <w:tc>
          <w:tcPr>
            <w:tcW w:type="dxa" w:w="1296"/>
            <w:shd w:fill="FFFFFF"/>
            <w:tcMar>
              <w:top w:w="80" w:type="dxa"/>
              <w:bottom w:w="80" w:type="dxa"/>
              <w:left w:w="140" w:type="dxa"/>
              <w:right w:w="140" w:type="dxa"/>
            </w:tcMar>
          </w:tcPr>
          <w:p>
            <w:pPr>
              <w:spacing w:before="0" w:after="0"/>
            </w:pPr>
            <w:r>
              <w:rPr>
                <w:color w:val="282828"/>
                <w:sz w:val="18"/>
              </w:rPr>
              <w:t>0.8152 ± 0.061</w:t>
            </w:r>
          </w:p>
        </w:tc>
        <w:tc>
          <w:tcPr>
            <w:tcW w:type="dxa" w:w="1296"/>
            <w:shd w:fill="FFFFFF"/>
            <w:tcMar>
              <w:top w:w="80" w:type="dxa"/>
              <w:bottom w:w="80" w:type="dxa"/>
              <w:left w:w="140" w:type="dxa"/>
              <w:right w:w="140" w:type="dxa"/>
            </w:tcMar>
          </w:tcPr>
          <w:p>
            <w:pPr>
              <w:spacing w:before="0" w:after="0"/>
            </w:pPr>
            <w:r>
              <w:rPr>
                <w:color w:val="282828"/>
                <w:sz w:val="18"/>
              </w:rPr>
              <w:t>0.7644 ± 0.098</w:t>
            </w:r>
          </w:p>
        </w:tc>
        <w:tc>
          <w:tcPr>
            <w:tcW w:type="dxa" w:w="1296"/>
            <w:shd w:fill="FFFFFF"/>
            <w:tcMar>
              <w:top w:w="80" w:type="dxa"/>
              <w:bottom w:w="80" w:type="dxa"/>
              <w:left w:w="140" w:type="dxa"/>
              <w:right w:w="140" w:type="dxa"/>
            </w:tcMar>
          </w:tcPr>
          <w:p>
            <w:pPr>
              <w:spacing w:before="0" w:after="0"/>
            </w:pPr>
            <w:r>
              <w:rPr>
                <w:color w:val="282828"/>
                <w:sz w:val="18"/>
              </w:rPr>
              <w:t>0.7838 ± 0.056</w:t>
            </w:r>
          </w:p>
        </w:tc>
        <w:tc>
          <w:tcPr>
            <w:tcW w:type="dxa" w:w="1584"/>
            <w:shd w:fill="FFFFFF"/>
            <w:tcMar>
              <w:top w:w="80" w:type="dxa"/>
              <w:bottom w:w="80" w:type="dxa"/>
              <w:left w:w="140" w:type="dxa"/>
              <w:right w:w="140" w:type="dxa"/>
            </w:tcMar>
          </w:tcPr>
          <w:p>
            <w:pPr>
              <w:spacing w:before="0" w:after="0"/>
            </w:pPr>
            <w:r>
              <w:rPr>
                <w:color w:val="282828"/>
                <w:sz w:val="18"/>
              </w:rPr>
              <w:t>0.8914 ± 0.032</w:t>
            </w:r>
          </w:p>
        </w:tc>
      </w:tr>
      <w:tr>
        <w:tc>
          <w:tcPr>
            <w:tcW w:type="dxa" w:w="2592"/>
            <w:shd w:fill="FFFFFF"/>
            <w:tcMar>
              <w:top w:w="80" w:type="dxa"/>
              <w:bottom w:w="80" w:type="dxa"/>
              <w:left w:w="140" w:type="dxa"/>
              <w:right w:w="140" w:type="dxa"/>
            </w:tcMar>
          </w:tcPr>
          <w:p>
            <w:pPr>
              <w:spacing w:before="0" w:after="0"/>
            </w:pPr>
            <w:r>
              <w:rPr>
                <w:color w:val="282828"/>
                <w:sz w:val="18"/>
              </w:rPr>
              <w:t>Gradient Boosting</w:t>
            </w:r>
          </w:p>
        </w:tc>
        <w:tc>
          <w:tcPr>
            <w:tcW w:type="dxa" w:w="1296"/>
            <w:shd w:fill="FFFFFF"/>
            <w:tcMar>
              <w:top w:w="80" w:type="dxa"/>
              <w:bottom w:w="80" w:type="dxa"/>
              <w:left w:w="140" w:type="dxa"/>
              <w:right w:w="140" w:type="dxa"/>
            </w:tcMar>
          </w:tcPr>
          <w:p>
            <w:pPr>
              <w:spacing w:before="0" w:after="0"/>
            </w:pPr>
            <w:r>
              <w:rPr>
                <w:color w:val="282828"/>
                <w:sz w:val="18"/>
              </w:rPr>
              <w:t>0.8016 ± 0.028</w:t>
            </w:r>
          </w:p>
        </w:tc>
        <w:tc>
          <w:tcPr>
            <w:tcW w:type="dxa" w:w="1296"/>
            <w:shd w:fill="FFFFFF"/>
            <w:tcMar>
              <w:top w:w="80" w:type="dxa"/>
              <w:bottom w:w="80" w:type="dxa"/>
              <w:left w:w="140" w:type="dxa"/>
              <w:right w:w="140" w:type="dxa"/>
            </w:tcMar>
          </w:tcPr>
          <w:p>
            <w:pPr>
              <w:spacing w:before="0" w:after="0"/>
            </w:pPr>
            <w:r>
              <w:rPr>
                <w:color w:val="282828"/>
                <w:sz w:val="18"/>
              </w:rPr>
              <w:t>0.7900 ± 0.050</w:t>
            </w:r>
          </w:p>
        </w:tc>
        <w:tc>
          <w:tcPr>
            <w:tcW w:type="dxa" w:w="1296"/>
            <w:shd w:fill="FFFFFF"/>
            <w:tcMar>
              <w:top w:w="80" w:type="dxa"/>
              <w:bottom w:w="80" w:type="dxa"/>
              <w:left w:w="140" w:type="dxa"/>
              <w:right w:w="140" w:type="dxa"/>
            </w:tcMar>
          </w:tcPr>
          <w:p>
            <w:pPr>
              <w:spacing w:before="0" w:after="0"/>
            </w:pPr>
            <w:r>
              <w:rPr>
                <w:color w:val="282828"/>
                <w:sz w:val="18"/>
              </w:rPr>
              <w:t>0.7830 ± 0.085</w:t>
            </w:r>
          </w:p>
        </w:tc>
        <w:tc>
          <w:tcPr>
            <w:tcW w:type="dxa" w:w="1296"/>
            <w:shd w:fill="FFFFFF"/>
            <w:tcMar>
              <w:top w:w="80" w:type="dxa"/>
              <w:bottom w:w="80" w:type="dxa"/>
              <w:left w:w="140" w:type="dxa"/>
              <w:right w:w="140" w:type="dxa"/>
            </w:tcMar>
          </w:tcPr>
          <w:p>
            <w:pPr>
              <w:spacing w:before="0" w:after="0"/>
            </w:pPr>
            <w:r>
              <w:rPr>
                <w:color w:val="282828"/>
                <w:sz w:val="18"/>
              </w:rPr>
              <w:t>0.7818 ± 0.039</w:t>
            </w:r>
          </w:p>
        </w:tc>
        <w:tc>
          <w:tcPr>
            <w:tcW w:type="dxa" w:w="1584"/>
            <w:shd w:fill="FFFFFF"/>
            <w:tcMar>
              <w:top w:w="80" w:type="dxa"/>
              <w:bottom w:w="80" w:type="dxa"/>
              <w:left w:w="140" w:type="dxa"/>
              <w:right w:w="140" w:type="dxa"/>
            </w:tcMar>
          </w:tcPr>
          <w:p>
            <w:pPr>
              <w:spacing w:before="0" w:after="0"/>
            </w:pPr>
            <w:r>
              <w:rPr>
                <w:color w:val="282828"/>
                <w:sz w:val="18"/>
              </w:rPr>
              <w:t>0.8744 ± 0.025</w:t>
            </w:r>
          </w:p>
        </w:tc>
      </w:tr>
      <w:tr>
        <w:tc>
          <w:tcPr>
            <w:tcW w:type="dxa" w:w="2592"/>
            <w:shd w:fill="EBF3FB"/>
            <w:shd w:fill="FFFFFF"/>
            <w:tcMar>
              <w:top w:w="80" w:type="dxa"/>
              <w:bottom w:w="80" w:type="dxa"/>
              <w:left w:w="140" w:type="dxa"/>
              <w:right w:w="140" w:type="dxa"/>
            </w:tcMar>
          </w:tcPr>
          <w:p>
            <w:pPr>
              <w:spacing w:before="0" w:after="0"/>
            </w:pPr>
            <w:r>
              <w:rPr>
                <w:color w:val="282828"/>
                <w:sz w:val="18"/>
              </w:rPr>
              <w:t>Champion (Hold-out Test)</w:t>
            </w:r>
          </w:p>
        </w:tc>
        <w:tc>
          <w:tcPr>
            <w:tcW w:type="dxa" w:w="1296"/>
            <w:shd w:fill="EBF3FB"/>
            <w:shd w:fill="FFFFFF"/>
            <w:tcMar>
              <w:top w:w="80" w:type="dxa"/>
              <w:bottom w:w="80" w:type="dxa"/>
              <w:left w:w="140" w:type="dxa"/>
              <w:right w:w="140" w:type="dxa"/>
            </w:tcMar>
          </w:tcPr>
          <w:p>
            <w:pPr>
              <w:spacing w:before="0" w:after="0"/>
            </w:pPr>
            <w:r>
              <w:rPr>
                <w:color w:val="282828"/>
                <w:sz w:val="18"/>
              </w:rPr>
              <w:t>0.8852</w:t>
            </w:r>
          </w:p>
        </w:tc>
        <w:tc>
          <w:tcPr>
            <w:tcW w:type="dxa" w:w="1296"/>
            <w:shd w:fill="EBF3FB"/>
            <w:shd w:fill="FFFFFF"/>
            <w:tcMar>
              <w:top w:w="80" w:type="dxa"/>
              <w:bottom w:w="80" w:type="dxa"/>
              <w:left w:w="140" w:type="dxa"/>
              <w:right w:w="140" w:type="dxa"/>
            </w:tcMar>
          </w:tcPr>
          <w:p>
            <w:pPr>
              <w:spacing w:before="0" w:after="0"/>
            </w:pPr>
            <w:r>
              <w:rPr>
                <w:color w:val="282828"/>
                <w:sz w:val="18"/>
              </w:rPr>
              <w:t>0.8387</w:t>
            </w:r>
          </w:p>
        </w:tc>
        <w:tc>
          <w:tcPr>
            <w:tcW w:type="dxa" w:w="1296"/>
            <w:shd w:fill="EBF3FB"/>
            <w:shd w:fill="FFFFFF"/>
            <w:tcMar>
              <w:top w:w="80" w:type="dxa"/>
              <w:bottom w:w="80" w:type="dxa"/>
              <w:left w:w="140" w:type="dxa"/>
              <w:right w:w="140" w:type="dxa"/>
            </w:tcMar>
          </w:tcPr>
          <w:p>
            <w:pPr>
              <w:spacing w:before="0" w:after="0"/>
            </w:pPr>
            <w:r>
              <w:rPr>
                <w:color w:val="282828"/>
                <w:sz w:val="18"/>
              </w:rPr>
              <w:t>0.9286</w:t>
            </w:r>
          </w:p>
        </w:tc>
        <w:tc>
          <w:tcPr>
            <w:tcW w:type="dxa" w:w="1296"/>
            <w:shd w:fill="EBF3FB"/>
            <w:shd w:fill="FFFFFF"/>
            <w:tcMar>
              <w:top w:w="80" w:type="dxa"/>
              <w:bottom w:w="80" w:type="dxa"/>
              <w:left w:w="140" w:type="dxa"/>
              <w:right w:w="140" w:type="dxa"/>
            </w:tcMar>
          </w:tcPr>
          <w:p>
            <w:pPr>
              <w:spacing w:before="0" w:after="0"/>
            </w:pPr>
            <w:r>
              <w:rPr>
                <w:color w:val="282828"/>
                <w:sz w:val="18"/>
              </w:rPr>
              <w:t>0.8814</w:t>
            </w:r>
          </w:p>
        </w:tc>
        <w:tc>
          <w:tcPr>
            <w:tcW w:type="dxa" w:w="1584"/>
            <w:shd w:fill="EBF3FB"/>
            <w:shd w:fill="FFFFFF"/>
            <w:tcMar>
              <w:top w:w="80" w:type="dxa"/>
              <w:bottom w:w="80" w:type="dxa"/>
              <w:left w:w="140" w:type="dxa"/>
              <w:right w:w="140" w:type="dxa"/>
            </w:tcMar>
          </w:tcPr>
          <w:p>
            <w:pPr>
              <w:spacing w:before="0" w:after="0"/>
            </w:pPr>
            <w:r>
              <w:rPr>
                <w:color w:val="282828"/>
                <w:sz w:val="18"/>
              </w:rPr>
              <w:t>0.9665</w:t>
            </w:r>
          </w:p>
        </w:tc>
      </w:tr>
    </w:tbl>
    <w:p>
      <w:pPr>
        <w:spacing w:before="80"/>
      </w:pPr>
    </w:p>
    <w:tbl>
      <w:tblPr>
        <w:tblW w:type="auto" w:w="0"/>
        <w:jc w:val="center"/>
        <w:tblLook w:firstColumn="1" w:firstRow="1" w:lastColumn="0" w:lastRow="0" w:noHBand="0" w:noVBand="1" w:val="04A0"/>
      </w:tblPr>
      <w:tblGrid>
        <w:gridCol w:w="3106"/>
        <w:gridCol w:w="3106"/>
        <w:gridCol w:w="3106"/>
      </w:tblGrid>
      <w:tr>
        <w:tc>
          <w:tcPr>
            <w:tcW w:type="dxa" w:w="3312"/>
            <w:shd w:fill="FFFFFF"/>
            <w:tcMar>
              <w:top w:w="0" w:type="dxa"/>
              <w:bottom w:w="0" w:type="dxa"/>
              <w:left w:w="0" w:type="dxa"/>
              <w:right w:w="0" w:type="dxa"/>
            </w:tcMar>
          </w:tcPr>
          <w:p>
            <w:r>
              <w:drawing>
                <wp:inline xmlns:a="http://schemas.openxmlformats.org/drawingml/2006/main" xmlns:pic="http://schemas.openxmlformats.org/drawingml/2006/picture">
                  <wp:extent cx="2011680" cy="1274064"/>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2011680" cy="1274064"/>
                          </a:xfrm>
                          <a:prstGeom prst="rect"/>
                        </pic:spPr>
                      </pic:pic>
                    </a:graphicData>
                  </a:graphic>
                </wp:inline>
              </w:drawing>
            </w:r>
          </w:p>
        </w:tc>
        <w:tc>
          <w:tcPr>
            <w:tcW w:type="dxa" w:w="2880"/>
            <w:shd w:fill="FFFFFF"/>
            <w:tcMar>
              <w:top w:w="0" w:type="dxa"/>
              <w:bottom w:w="0" w:type="dxa"/>
              <w:left w:w="0" w:type="dxa"/>
              <w:right w:w="0" w:type="dxa"/>
            </w:tcMar>
          </w:tcPr>
          <w:p>
            <w:r>
              <w:drawing>
                <wp:inline xmlns:a="http://schemas.openxmlformats.org/drawingml/2006/main" xmlns:pic="http://schemas.openxmlformats.org/drawingml/2006/picture">
                  <wp:extent cx="1737360" cy="1544320"/>
                  <wp:docPr id="5" name="Picture 5"/>
                  <wp:cNvGraphicFramePr>
                    <a:graphicFrameLocks noChangeAspect="1"/>
                  </wp:cNvGraphicFramePr>
                  <a:graphic>
                    <a:graphicData uri="http://schemas.openxmlformats.org/drawingml/2006/picture">
                      <pic:pic>
                        <pic:nvPicPr>
                          <pic:cNvPr id="0" name="logistic_regression_confusion_matrix.png"/>
                          <pic:cNvPicPr/>
                        </pic:nvPicPr>
                        <pic:blipFill>
                          <a:blip r:embed="rId13"/>
                          <a:stretch>
                            <a:fillRect/>
                          </a:stretch>
                        </pic:blipFill>
                        <pic:spPr>
                          <a:xfrm>
                            <a:off x="0" y="0"/>
                            <a:ext cx="1737360" cy="1544320"/>
                          </a:xfrm>
                          <a:prstGeom prst="rect"/>
                        </pic:spPr>
                      </pic:pic>
                    </a:graphicData>
                  </a:graphic>
                </wp:inline>
              </w:drawing>
            </w:r>
          </w:p>
        </w:tc>
        <w:tc>
          <w:tcPr>
            <w:tcW w:type="dxa" w:w="3168"/>
            <w:shd w:fill="FFFFFF"/>
            <w:tcMar>
              <w:top w:w="0" w:type="dxa"/>
              <w:bottom w:w="0" w:type="dxa"/>
              <w:left w:w="0" w:type="dxa"/>
              <w:right w:w="0" w:type="dxa"/>
            </w:tcMar>
          </w:tcPr>
          <w:p>
            <w:r>
              <w:drawing>
                <wp:inline xmlns:a="http://schemas.openxmlformats.org/drawingml/2006/main" xmlns:pic="http://schemas.openxmlformats.org/drawingml/2006/picture">
                  <wp:extent cx="1920240" cy="1706880"/>
                  <wp:docPr id="6" name="Picture 6"/>
                  <wp:cNvGraphicFramePr>
                    <a:graphicFrameLocks noChangeAspect="1"/>
                  </wp:cNvGraphicFramePr>
                  <a:graphic>
                    <a:graphicData uri="http://schemas.openxmlformats.org/drawingml/2006/picture">
                      <pic:pic>
                        <pic:nvPicPr>
                          <pic:cNvPr id="0" name="logistic_regression_roc.png"/>
                          <pic:cNvPicPr/>
                        </pic:nvPicPr>
                        <pic:blipFill>
                          <a:blip r:embed="rId14"/>
                          <a:stretch>
                            <a:fillRect/>
                          </a:stretch>
                        </pic:blipFill>
                        <pic:spPr>
                          <a:xfrm>
                            <a:off x="0" y="0"/>
                            <a:ext cx="1920240" cy="1706880"/>
                          </a:xfrm>
                          <a:prstGeom prst="rect"/>
                        </pic:spPr>
                      </pic:pic>
                    </a:graphicData>
                  </a:graphic>
                </wp:inline>
              </w:drawing>
            </w:r>
          </w:p>
        </w:tc>
      </w:tr>
    </w:tbl>
    <w:p>
      <w:pPr>
        <w:spacing w:before="40" w:after="120"/>
        <w:jc w:val="center"/>
      </w:pPr>
      <w:r>
        <w:rPr>
          <w:i/>
          <w:color w:val="505050"/>
          <w:sz w:val="17"/>
        </w:rPr>
        <w:t>Figure 3: (Left) Nested CV ROC-AUC comparison with error bars; (Center) Hold-out test Confusion Matrix; (Right) Test ROC Curve.</w:t>
      </w:r>
    </w:p>
    <w:p>
      <w:pPr>
        <w:spacing w:before="0" w:after="80" w:line="276" w:lineRule="auto"/>
      </w:pPr>
      <w:r>
        <w:rPr>
          <w:b/>
          <w:color w:val="1B365D"/>
        </w:rPr>
        <w:t xml:space="preserve">Performance Discussion &amp; Model Selection: </w:t>
      </w:r>
      <w:r>
        <w:rPr>
          <w:color w:val="232323"/>
          <w:sz w:val="20"/>
        </w:rPr>
        <w:t>Model Selection Analysis: Logistic Regression achieved the superior nested cross-validation performance with an outer-fold mean ROC-AUC of 0.9018 (± 0.0156), outperforming Random Forest (0.8914 ± 0.0316) and Gradient Boosting (0.8744 ± 0.0249). Crucially, Logistic Regression demonstrated not only the highest mean discrimination but also the lowest variance across outer folds (std = 0.0156 vs 0.0316 for RF), proving that on small-sample medical datasets (N=242), regularized linear models exhibit lower estimation variance than high-capacity tree ensembles.</w:t>
      </w:r>
    </w:p>
    <w:p>
      <w:pPr>
        <w:spacing w:before="0" w:after="80" w:line="276" w:lineRule="auto"/>
      </w:pPr>
      <w:r>
        <w:rPr>
          <w:color w:val="232323"/>
          <w:sz w:val="20"/>
        </w:rPr>
        <w:t>Optimal Hyperparameters: Exhaustive grid search selected an L2 penalty with inverse regularization strength C = 0.1 ({'clf__C': 0.1, 'clf__penalty': 'l2'}). A moderate regularization strength (C=0.1) effectively shrinks regression coefficients, mitigating overfitting to noise in clinical measurements.</w:t>
      </w:r>
    </w:p>
    <w:p>
      <w:pPr>
        <w:spacing w:before="0" w:after="80" w:line="276" w:lineRule="auto"/>
      </w:pPr>
      <w:r>
        <w:rPr>
          <w:color w:val="232323"/>
          <w:sz w:val="20"/>
        </w:rPr>
        <w:t>Hold-Out Test Validation &amp; Clinical Screening Trade-off: On the independent 61-patient test cohort, the champion Logistic Regression model achieved an exceptional ROC-AUC of 0.9665, an overall Accuracy of 88.52%, and a Recall (Sensitivity) of 92.86%. In medical diagnostics, missing a true case of coronary artery disease (a false negative) carries grave patient prognosis, whereas a false alarm (false positive) merely triggers non-invasive confirmatory testing. As shown in the Confusion Matrix, the model correctly diagnosed 26 of 28 diseased patients (92.86% true positive rate) with only 2 false negatives, while maintaining an 84.85% true negative rate (28 of 33 healthy patients).</w:t>
      </w:r>
    </w:p>
    <w:p>
      <w:pPr>
        <w:pStyle w:val="Heading1"/>
        <w:keepNext/>
        <w:spacing w:before="280" w:after="80"/>
      </w:pPr>
      <w:r>
        <w:rPr>
          <w:b/>
          <w:color w:val="1B365D"/>
          <w:sz w:val="30"/>
        </w:rPr>
        <w:t>5. Experiment Tracking with MLflow</w:t>
      </w:r>
    </w:p>
    <w:p>
      <w:pPr>
        <w:spacing w:before="0" w:after="80" w:line="276" w:lineRule="auto"/>
      </w:pPr>
      <w:r>
        <w:rPr>
          <w:color w:val="232323"/>
          <w:sz w:val="20"/>
        </w:rPr>
        <w:t>In accordance with modern MLOps governance standards, all training executions, hyperparameter evaluations, diagnostic figures, and serialized model artifacts are automatically tracked using MLflow in src/heart/train.py. Experimentation is organized under the experiment namespace 'heart-disease-risk' and persisted to a local file store at ./mlruns (configurable via the MLFLOW_TRACKING_URI environment variable to target remote MLflow servers on AWS, GCP, or Databricks).</w:t>
      </w:r>
    </w:p>
    <w:p>
      <w:pPr>
        <w:spacing w:before="0" w:after="80" w:line="276" w:lineRule="auto"/>
      </w:pPr>
      <w:r>
        <w:rPr>
          <w:b/>
          <w:color w:val="1B365D"/>
        </w:rPr>
        <w:t xml:space="preserve">Logged MLflow Hierarchy: </w:t>
      </w:r>
      <w:r>
        <w:rPr>
          <w:color w:val="232323"/>
          <w:sz w:val="20"/>
        </w:rPr>
        <w:t>Table 5 delineates the structured hierarchy of metadata recorded for every training run.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58"/>
        <w:gridCol w:w="4658"/>
      </w:tblGrid>
      <w:tr>
        <w:tc>
          <w:tcPr>
            <w:tcW w:type="dxa" w:w="2592"/>
            <w:shd w:fill="1B365D"/>
            <w:tcMar>
              <w:top w:w="120" w:type="dxa"/>
              <w:bottom w:w="120" w:type="dxa"/>
              <w:left w:w="140" w:type="dxa"/>
              <w:right w:w="140" w:type="dxa"/>
            </w:tcMar>
          </w:tcPr>
          <w:p>
            <w:pPr>
              <w:spacing w:before="0" w:after="0"/>
            </w:pPr>
            <w:r>
              <w:rPr>
                <w:b/>
                <w:color w:val="FFFFFF"/>
                <w:sz w:val="19"/>
              </w:rPr>
              <w:t>Artifact Category</w:t>
            </w:r>
          </w:p>
        </w:tc>
        <w:tc>
          <w:tcPr>
            <w:tcW w:type="dxa" w:w="6768"/>
            <w:shd w:fill="1B365D"/>
            <w:tcMar>
              <w:top w:w="120" w:type="dxa"/>
              <w:bottom w:w="120" w:type="dxa"/>
              <w:left w:w="140" w:type="dxa"/>
              <w:right w:w="140" w:type="dxa"/>
            </w:tcMar>
          </w:tcPr>
          <w:p>
            <w:pPr>
              <w:spacing w:before="0" w:after="0"/>
            </w:pPr>
            <w:r>
              <w:rPr>
                <w:b/>
                <w:color w:val="FFFFFF"/>
                <w:sz w:val="19"/>
              </w:rPr>
              <w:t>Logged Metadata and Payloads</w:t>
            </w:r>
          </w:p>
        </w:tc>
      </w:tr>
      <w:tr>
        <w:tc>
          <w:tcPr>
            <w:tcW w:type="dxa" w:w="2592"/>
            <w:shd w:fill="F7F9FB"/>
            <w:tcMar>
              <w:top w:w="80" w:type="dxa"/>
              <w:bottom w:w="80" w:type="dxa"/>
              <w:left w:w="140" w:type="dxa"/>
              <w:right w:w="140" w:type="dxa"/>
            </w:tcMar>
          </w:tcPr>
          <w:p>
            <w:pPr>
              <w:spacing w:before="0" w:after="0"/>
            </w:pPr>
            <w:r>
              <w:rPr>
                <w:color w:val="282828"/>
                <w:sz w:val="18"/>
              </w:rPr>
              <w:t>Parameters</w:t>
            </w:r>
          </w:p>
        </w:tc>
        <w:tc>
          <w:tcPr>
            <w:tcW w:type="dxa" w:w="6768"/>
            <w:shd w:fill="F7F9FB"/>
            <w:tcMar>
              <w:top w:w="80" w:type="dxa"/>
              <w:bottom w:w="80" w:type="dxa"/>
              <w:left w:w="140" w:type="dxa"/>
              <w:right w:w="140" w:type="dxa"/>
            </w:tcMar>
          </w:tcPr>
          <w:p>
            <w:pPr>
              <w:spacing w:before="0" w:after="0"/>
            </w:pPr>
            <w:r>
              <w:rPr>
                <w:color w:val="282828"/>
                <w:sz w:val="18"/>
              </w:rPr>
              <w:t>Model family name, random seed (42), test split size (0.2), outer folds (5), inner folds (3), training row count (242), test row count (61), and all optimal hyperparameters (best_clf__C, best_clf__penalty).</w:t>
            </w:r>
          </w:p>
        </w:tc>
      </w:tr>
      <w:tr>
        <w:tc>
          <w:tcPr>
            <w:tcW w:type="dxa" w:w="2592"/>
            <w:shd w:fill="FFFFFF"/>
            <w:tcMar>
              <w:top w:w="80" w:type="dxa"/>
              <w:bottom w:w="80" w:type="dxa"/>
              <w:left w:w="140" w:type="dxa"/>
              <w:right w:w="140" w:type="dxa"/>
            </w:tcMar>
          </w:tcPr>
          <w:p>
            <w:pPr>
              <w:spacing w:before="0" w:after="0"/>
            </w:pPr>
            <w:r>
              <w:rPr>
                <w:color w:val="282828"/>
                <w:sz w:val="18"/>
              </w:rPr>
              <w:t>Cross-Validation Metrics</w:t>
            </w:r>
          </w:p>
        </w:tc>
        <w:tc>
          <w:tcPr>
            <w:tcW w:type="dxa" w:w="6768"/>
            <w:shd w:fill="FFFFFF"/>
            <w:tcMar>
              <w:top w:w="80" w:type="dxa"/>
              <w:bottom w:w="80" w:type="dxa"/>
              <w:left w:w="140" w:type="dxa"/>
              <w:right w:w="140" w:type="dxa"/>
            </w:tcMar>
          </w:tcPr>
          <w:p>
            <w:pPr>
              <w:spacing w:before="0" w:after="0"/>
            </w:pPr>
            <w:r>
              <w:rPr>
                <w:color w:val="282828"/>
                <w:sz w:val="18"/>
              </w:rPr>
              <w:t>Mean and standard deviation across all 5 outer folds for: cv_accuracy, cv_precision, cv_recall, cv_f1, cv_roc_auc, plus tuning_best_cv_roc_auc.</w:t>
            </w:r>
          </w:p>
        </w:tc>
      </w:tr>
      <w:tr>
        <w:tc>
          <w:tcPr>
            <w:tcW w:type="dxa" w:w="2592"/>
            <w:shd w:fill="F7F9FB"/>
            <w:tcMar>
              <w:top w:w="80" w:type="dxa"/>
              <w:bottom w:w="80" w:type="dxa"/>
              <w:left w:w="140" w:type="dxa"/>
              <w:right w:w="140" w:type="dxa"/>
            </w:tcMar>
          </w:tcPr>
          <w:p>
            <w:pPr>
              <w:spacing w:before="0" w:after="0"/>
            </w:pPr>
            <w:r>
              <w:rPr>
                <w:color w:val="282828"/>
                <w:sz w:val="18"/>
              </w:rPr>
              <w:t>Hold-Out Test Metrics</w:t>
            </w:r>
          </w:p>
        </w:tc>
        <w:tc>
          <w:tcPr>
            <w:tcW w:type="dxa" w:w="6768"/>
            <w:shd w:fill="F7F9FB"/>
            <w:tcMar>
              <w:top w:w="80" w:type="dxa"/>
              <w:bottom w:w="80" w:type="dxa"/>
              <w:left w:w="140" w:type="dxa"/>
              <w:right w:w="140" w:type="dxa"/>
            </w:tcMar>
          </w:tcPr>
          <w:p>
            <w:pPr>
              <w:spacing w:before="0" w:after="0"/>
            </w:pPr>
            <w:r>
              <w:rPr>
                <w:color w:val="282828"/>
                <w:sz w:val="18"/>
              </w:rPr>
              <w:t>Unbiased validation scores on the held-out 61 patients: test_accuracy, test_precision, test_recall, test_f1, test_roc_auc.</w:t>
            </w:r>
          </w:p>
        </w:tc>
      </w:tr>
      <w:tr>
        <w:tc>
          <w:tcPr>
            <w:tcW w:type="dxa" w:w="2592"/>
            <w:shd w:fill="FFFFFF"/>
            <w:tcMar>
              <w:top w:w="80" w:type="dxa"/>
              <w:bottom w:w="80" w:type="dxa"/>
              <w:left w:w="140" w:type="dxa"/>
              <w:right w:w="140" w:type="dxa"/>
            </w:tcMar>
          </w:tcPr>
          <w:p>
            <w:pPr>
              <w:spacing w:before="0" w:after="0"/>
            </w:pPr>
            <w:r>
              <w:rPr>
                <w:color w:val="282828"/>
                <w:sz w:val="18"/>
              </w:rPr>
              <w:t>Visual Artifacts</w:t>
            </w:r>
          </w:p>
        </w:tc>
        <w:tc>
          <w:tcPr>
            <w:tcW w:type="dxa" w:w="6768"/>
            <w:shd w:fill="FFFFFF"/>
            <w:tcMar>
              <w:top w:w="80" w:type="dxa"/>
              <w:bottom w:w="80" w:type="dxa"/>
              <w:left w:w="140" w:type="dxa"/>
              <w:right w:w="140" w:type="dxa"/>
            </w:tcMar>
          </w:tcPr>
          <w:p>
            <w:pPr>
              <w:spacing w:before="0" w:after="0"/>
            </w:pPr>
            <w:r>
              <w:rPr>
                <w:color w:val="282828"/>
                <w:sz w:val="18"/>
              </w:rPr>
              <w:t>High-resolution test confusion matrix (plots/confusion_matrix.png), test ROC curve (plots/roc.png), and overall cross-validation bar chart (plots/model_comparison.png).</w:t>
            </w:r>
          </w:p>
        </w:tc>
      </w:tr>
      <w:tr>
        <w:tc>
          <w:tcPr>
            <w:tcW w:type="dxa" w:w="2592"/>
            <w:shd w:fill="F7F9FB"/>
            <w:tcMar>
              <w:top w:w="80" w:type="dxa"/>
              <w:bottom w:w="80" w:type="dxa"/>
              <w:left w:w="140" w:type="dxa"/>
              <w:right w:w="140" w:type="dxa"/>
            </w:tcMar>
          </w:tcPr>
          <w:p>
            <w:pPr>
              <w:spacing w:before="0" w:after="0"/>
            </w:pPr>
            <w:r>
              <w:rPr>
                <w:color w:val="282828"/>
                <w:sz w:val="18"/>
              </w:rPr>
              <w:t>Model Signature &amp; Artifacts</w:t>
            </w:r>
          </w:p>
        </w:tc>
        <w:tc>
          <w:tcPr>
            <w:tcW w:type="dxa" w:w="6768"/>
            <w:shd w:fill="F7F9FB"/>
            <w:tcMar>
              <w:top w:w="80" w:type="dxa"/>
              <w:bottom w:w="80" w:type="dxa"/>
              <w:left w:w="140" w:type="dxa"/>
              <w:right w:w="140" w:type="dxa"/>
            </w:tcMar>
          </w:tcPr>
          <w:p>
            <w:pPr>
              <w:spacing w:before="0" w:after="0"/>
            </w:pPr>
            <w:r>
              <w:rPr>
                <w:color w:val="282828"/>
                <w:sz w:val="18"/>
              </w:rPr>
              <w:t>Serialized scikit-learn model logged via mlflow.sklearn.log_model with inferred input/output tensor signature, input example dataframe, conda.yaml, and MLmodel descriptors.</w:t>
            </w:r>
          </w:p>
        </w:tc>
      </w:tr>
    </w:tbl>
    <w:p>
      <w:pPr>
        <w:spacing w:before="80"/>
      </w:pPr>
    </w:p>
    <w:p>
      <w:pPr>
        <w:spacing w:before="0" w:after="80" w:line="276" w:lineRule="auto"/>
      </w:pPr>
      <w:r>
        <w:rPr>
          <w:b/>
          <w:color w:val="1B365D"/>
        </w:rPr>
        <w:t xml:space="preserve">Model Lineage &amp; Governance: </w:t>
      </w:r>
      <w:r>
        <w:rPr>
          <w:color w:val="232323"/>
          <w:sz w:val="20"/>
        </w:rPr>
        <w:t>Promotion &amp; Model Governance: Following candidate evaluation, src/heart/train.py automatically initializes a dedicated promotion run named 'final_model_selection'. This run logs the production-candidate tag, records the champion model identity ('logistic_regression'), and packages the production model artifact (model.joblib) alongside its cryptographic companion metadata (metadata.json). This architectural pattern establishes complete lineage: any model deployed in Kubernetes can be traced back to its exact training timestamp, hyperparameter configuration, Git commit SHA, and MLflow run ID.</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MLflow UI Inspection Commands &amp; Run Summary</w:t>
            </w:r>
          </w:p>
          <w:p>
            <w:pPr>
              <w:spacing w:before="20" w:after="20"/>
            </w:pPr>
            <w:r>
              <w:rPr>
                <w:rFonts w:ascii="Consolas" w:hAnsi="Consolas"/>
                <w:color w:val="1E1E1E"/>
                <w:sz w:val="17"/>
              </w:rPr>
              <w:t># Start MLflow UI server locally</w:t>
            </w:r>
          </w:p>
          <w:p>
            <w:pPr>
              <w:spacing w:before="20" w:after="20"/>
            </w:pPr>
            <w:r>
              <w:rPr>
                <w:rFonts w:ascii="Consolas" w:hAnsi="Consolas"/>
                <w:color w:val="1E1E1E"/>
                <w:sz w:val="17"/>
              </w:rPr>
              <w:t>mlflow ui --backend-store-uri ./mlruns --port 5000</w:t>
            </w:r>
          </w:p>
          <w:p>
            <w:pPr>
              <w:spacing w:before="20" w:after="20"/>
            </w:pPr>
            <w:r>
              <w:rPr>
                <w:rFonts w:ascii="Consolas" w:hAnsi="Consolas"/>
                <w:color w:val="1E1E1E"/>
                <w:sz w:val="17"/>
              </w:rPr>
              <w:t># Open browser at: http://127.0.0.1:5000</w:t>
            </w:r>
          </w:p>
          <w:p>
            <w:pPr>
              <w:spacing w:before="20" w:after="20"/>
            </w:pPr>
            <w:r>
              <w:rPr>
                <w:rFonts w:ascii="Consolas" w:hAnsi="Consolas"/>
                <w:color w:val="1E1E1E"/>
                <w:sz w:val="17"/>
              </w:rPr>
            </w:r>
          </w:p>
          <w:p>
            <w:pPr>
              <w:spacing w:before="20" w:after="20"/>
            </w:pPr>
            <w:r>
              <w:rPr>
                <w:rFonts w:ascii="Consolas" w:hAnsi="Consolas"/>
                <w:color w:val="1E1E1E"/>
                <w:sz w:val="17"/>
              </w:rPr>
              <w:t>Verified MLflow Experiment Runs (Experiment: heart-disease-risk):</w:t>
            </w:r>
          </w:p>
          <w:p>
            <w:pPr>
              <w:spacing w:before="20" w:after="20"/>
            </w:pPr>
            <w:r>
              <w:rPr>
                <w:rFonts w:ascii="Consolas" w:hAnsi="Consolas"/>
                <w:color w:val="1E1E1E"/>
                <w:sz w:val="17"/>
              </w:rPr>
              <w:t xml:space="preserve">  - Run 1 [ID: 803c9695]: logistic_regression | nested-CV ROC-AUC: 0.9018 | test ROC-AUC: 0.9665 | (Promoted)</w:t>
            </w:r>
          </w:p>
          <w:p>
            <w:pPr>
              <w:spacing w:before="20" w:after="20"/>
            </w:pPr>
            <w:r>
              <w:rPr>
                <w:rFonts w:ascii="Consolas" w:hAnsi="Consolas"/>
                <w:color w:val="1E1E1E"/>
                <w:sz w:val="17"/>
              </w:rPr>
              <w:t xml:space="preserve">  - Run 2 [ID: 90590a8b]: random_forest       | nested-CV ROC-AUC: 0.8914 | test ROC-AUC: 0.9416</w:t>
            </w:r>
          </w:p>
          <w:p>
            <w:pPr>
              <w:spacing w:before="20" w:after="20"/>
            </w:pPr>
            <w:r>
              <w:rPr>
                <w:rFonts w:ascii="Consolas" w:hAnsi="Consolas"/>
                <w:color w:val="1E1E1E"/>
                <w:sz w:val="17"/>
              </w:rPr>
              <w:t xml:space="preserve">  - Run 3 [ID: 34012746]: gradient_boosting   | nested-CV ROC-AUC: 0.8744 | test ROC-AUC: 0.9610</w:t>
            </w:r>
          </w:p>
          <w:p>
            <w:pPr>
              <w:spacing w:before="20" w:after="20"/>
            </w:pPr>
            <w:r>
              <w:rPr>
                <w:rFonts w:ascii="Consolas" w:hAnsi="Consolas"/>
                <w:color w:val="1E1E1E"/>
                <w:sz w:val="17"/>
              </w:rPr>
              <w:t xml:space="preserve">  - Run 4 [ID: a66d0cca]: final_model_selection | tag: production-candidate | champion: logistic_regression</w:t>
            </w:r>
          </w:p>
        </w:tc>
      </w:tr>
    </w:tbl>
    <w:p>
      <w:pPr>
        <w:spacing w:before="40" w:after="80"/>
      </w:pPr>
    </w:p>
    <w:p>
      <w:pPr>
        <w:pStyle w:val="Heading1"/>
        <w:keepNext/>
        <w:spacing w:before="280" w:after="80"/>
      </w:pPr>
      <w:r>
        <w:rPr>
          <w:b/>
          <w:color w:val="1B365D"/>
          <w:sz w:val="30"/>
        </w:rPr>
        <w:t>6. Model Packaging and Reproducibility</w:t>
      </w:r>
    </w:p>
    <w:p>
      <w:pPr>
        <w:spacing w:before="0" w:after="80" w:line="276" w:lineRule="auto"/>
      </w:pPr>
      <w:r>
        <w:rPr>
          <w:color w:val="232323"/>
          <w:sz w:val="20"/>
        </w:rPr>
        <w:t>A critical vulnerability in enterprise machine learning deployments is train-serving skew, where feature transformations applied during training differ from the logic implemented in production microservices. To eliminate this risk completely, the deployable unit produced by src/heart/train.py is the entire fitted scikit-learn Pipeline object (ColumnTransformer + LogisticRegression) serialised to models/model.joblib. During production serving, the FastAPI service accepts raw patient records and passes them directly to the pipeline's predict_proba() method; the model encapsulates its own imputation, scaling, and one-hot encoding internally.</w:t>
      </w:r>
    </w:p>
    <w:p>
      <w:pPr>
        <w:spacing w:before="0" w:after="80" w:line="276" w:lineRule="auto"/>
      </w:pPr>
      <w:r>
        <w:rPr>
          <w:color w:val="232323"/>
          <w:sz w:val="20"/>
        </w:rPr>
        <w:t>The model binary is accompanied by models/metadata.json, which captures model versioning, training timestamps, library versions, feature order, and validation scores. End-to-end reproducibility rests on five concrete pillars:</w:t>
      </w:r>
    </w:p>
    <w:p>
      <w:pPr>
        <w:pStyle w:val="ListBullet"/>
        <w:spacing w:before="20" w:after="60" w:line="276" w:lineRule="auto"/>
      </w:pPr>
      <w:r>
        <w:rPr>
          <w:b/>
          <w:color w:val="1B365D"/>
        </w:rPr>
        <w:t xml:space="preserve">1. Fixed Pseudorandom Seeds: </w:t>
      </w:r>
      <w:r>
        <w:rPr>
          <w:color w:val="232323"/>
          <w:sz w:val="20"/>
        </w:rPr>
        <w:t>A constant seed (RANDOM_STATE = 42) is propagated to train/test partitioning, stratified cross-validation folds, and stochastic estimators. Reproducibility is strictly enforced by unit test test_training_is_reproducible, which trains two independent models and asserts identical predictions.</w:t>
      </w:r>
    </w:p>
    <w:p>
      <w:pPr>
        <w:pStyle w:val="ListBullet"/>
        <w:spacing w:before="20" w:after="60" w:line="276" w:lineRule="auto"/>
      </w:pPr>
      <w:r>
        <w:rPr>
          <w:b/>
          <w:color w:val="1B365D"/>
        </w:rPr>
        <w:t xml:space="preserve">2. Pinned Dependency Graph: </w:t>
      </w:r>
      <w:r>
        <w:rPr>
          <w:color w:val="232323"/>
          <w:sz w:val="20"/>
        </w:rPr>
        <w:t>All Python libraries are pinned to exact patch versions across requirements.txt and requirements-serve.txt.</w:t>
      </w:r>
    </w:p>
    <w:p>
      <w:pPr>
        <w:pStyle w:val="ListBullet"/>
        <w:spacing w:before="20" w:after="60" w:line="276" w:lineRule="auto"/>
      </w:pPr>
      <w:r>
        <w:rPr>
          <w:b/>
          <w:color w:val="1B365D"/>
        </w:rPr>
        <w:t xml:space="preserve">3. Programmatic Data Acquisition: </w:t>
      </w:r>
      <w:r>
        <w:rPr>
          <w:color w:val="232323"/>
          <w:sz w:val="20"/>
        </w:rPr>
        <w:t>All dataset transformations and downloads are expressed as version-controlled code rather than manual spreadsheet modifications.</w:t>
      </w:r>
    </w:p>
    <w:p>
      <w:pPr>
        <w:pStyle w:val="ListBullet"/>
        <w:spacing w:before="20" w:after="60" w:line="276" w:lineRule="auto"/>
      </w:pPr>
      <w:r>
        <w:rPr>
          <w:b/>
          <w:color w:val="1B365D"/>
        </w:rPr>
        <w:t xml:space="preserve">4. Encapsulated Preprocessing: </w:t>
      </w:r>
      <w:r>
        <w:rPr>
          <w:color w:val="232323"/>
          <w:sz w:val="20"/>
        </w:rPr>
        <w:t>Feature scaling and imputation are serialized directly inside the model artifact, preventing statistical skew.</w:t>
      </w:r>
    </w:p>
    <w:p>
      <w:pPr>
        <w:pStyle w:val="ListBullet"/>
        <w:spacing w:before="20" w:after="60" w:line="276" w:lineRule="auto"/>
      </w:pPr>
      <w:r>
        <w:rPr>
          <w:b/>
          <w:color w:val="1B365D"/>
        </w:rPr>
        <w:t xml:space="preserve">5. Containerized Execution Environment: </w:t>
      </w:r>
      <w:r>
        <w:rPr>
          <w:color w:val="232323"/>
          <w:sz w:val="20"/>
        </w:rPr>
        <w:t>The Docker container locks the Linux operating system, C standard libraries, and Python runtime.</w:t>
      </w:r>
    </w:p>
    <w:p>
      <w:pPr>
        <w:pStyle w:val="Heading1"/>
        <w:keepNext/>
        <w:spacing w:before="280" w:after="80"/>
      </w:pPr>
      <w:r>
        <w:rPr>
          <w:b/>
          <w:color w:val="1B365D"/>
          <w:sz w:val="30"/>
        </w:rPr>
        <w:t>7. Automated Testing and CI/CD Pipeline</w:t>
      </w:r>
    </w:p>
    <w:p>
      <w:pPr>
        <w:pStyle w:val="Heading2"/>
        <w:keepNext/>
        <w:spacing w:before="200" w:after="60"/>
      </w:pPr>
      <w:r>
        <w:rPr>
          <w:b/>
          <w:color w:val="294A6E"/>
          <w:sz w:val="25"/>
        </w:rPr>
        <w:t>7.1 Unit Testing Framework (pytest)</w:t>
      </w:r>
    </w:p>
    <w:p>
      <w:pPr>
        <w:spacing w:before="0" w:after="80" w:line="276" w:lineRule="auto"/>
      </w:pPr>
      <w:r>
        <w:rPr>
          <w:color w:val="232323"/>
          <w:sz w:val="20"/>
        </w:rPr>
        <w:t>A production MLOps system must incorporate comprehensive automated testing to prevent regressions. The project implements a 21-test pytest suite organized across four specialized test modules:</w:t>
      </w:r>
    </w:p>
    <w:p>
      <w:pPr>
        <w:pStyle w:val="ListBullet"/>
        <w:spacing w:before="20" w:after="60" w:line="276" w:lineRule="auto"/>
      </w:pPr>
      <w:r>
        <w:rPr>
          <w:b/>
          <w:color w:val="1B365D"/>
        </w:rPr>
        <w:t xml:space="preserve">Data Sanitization Tests (tests/test_data.py): </w:t>
      </w:r>
      <w:r>
        <w:rPr>
          <w:color w:val="232323"/>
          <w:sz w:val="20"/>
        </w:rPr>
        <w:t>Verifies that raw question marks '?' are correctly parsed to NaN, duplicate rows are pruned, target labels 1-4 are properly binarized, and schemas with missing required columns raise descriptive ValueError exceptions.</w:t>
      </w:r>
    </w:p>
    <w:p>
      <w:pPr>
        <w:pStyle w:val="ListBullet"/>
        <w:spacing w:before="20" w:after="60" w:line="276" w:lineRule="auto"/>
      </w:pPr>
      <w:r>
        <w:rPr>
          <w:b/>
          <w:color w:val="1B365D"/>
        </w:rPr>
        <w:t xml:space="preserve">Feature Transformation Tests (tests/test_features.py): </w:t>
      </w:r>
      <w:r>
        <w:rPr>
          <w:color w:val="232323"/>
          <w:sz w:val="20"/>
        </w:rPr>
        <w:t>Asserts that the ColumnTransformer produces non-null arrays, numeric features are scaled to zero mean and unit variance, unseen categories degrade gracefully via handle_unknown='ignore', and all 13 features are mapped.</w:t>
      </w:r>
    </w:p>
    <w:p>
      <w:pPr>
        <w:pStyle w:val="ListBullet"/>
        <w:spacing w:before="20" w:after="60" w:line="276" w:lineRule="auto"/>
      </w:pPr>
      <w:r>
        <w:rPr>
          <w:b/>
          <w:color w:val="1B365D"/>
        </w:rPr>
        <w:t xml:space="preserve">Model &amp; Pipeline Tests (tests/test_model.py): </w:t>
      </w:r>
      <w:r>
        <w:rPr>
          <w:color w:val="232323"/>
          <w:sz w:val="20"/>
        </w:rPr>
        <w:t>Validates that at least two candidate architectures exist, metric dictionaries are complete and bounded in [0, 1], nested CV returns expected keys, model predictions are strictly reproducible given a fixed seed, and the train.py script executes end-to-end with MLflow.</w:t>
      </w:r>
    </w:p>
    <w:p>
      <w:pPr>
        <w:pStyle w:val="ListBullet"/>
        <w:spacing w:before="20" w:after="60" w:line="276" w:lineRule="auto"/>
      </w:pPr>
      <w:r>
        <w:rPr>
          <w:b/>
          <w:color w:val="1B365D"/>
        </w:rPr>
        <w:t xml:space="preserve">API Integration Tests (tests/test_api.py): </w:t>
      </w:r>
      <w:r>
        <w:rPr>
          <w:color w:val="232323"/>
          <w:sz w:val="20"/>
        </w:rPr>
        <w:t>Uses FastAPI's TestClient to verify /health returns HTTP 200, valid patient payloads return well-formed JSON predictions with confidence scores, optional fields (ca, thal) can be omitted without failure, clinically impossible inputs (e.g., age = 150) trigger HTTP 422 Unprocessable Entity, and Prometheus /metrics exposes request counters.</w:t>
      </w:r>
    </w:p>
    <w:p>
      <w:pPr>
        <w:spacing w:before="0" w:after="80" w:line="276" w:lineRule="auto"/>
      </w:pPr>
      <w:r>
        <w:rPr>
          <w:b/>
          <w:color w:val="1B365D"/>
        </w:rPr>
        <w:t xml:space="preserve">Deterministic Synthetic Fixture: </w:t>
      </w:r>
      <w:r>
        <w:rPr>
          <w:color w:val="232323"/>
          <w:sz w:val="20"/>
        </w:rPr>
        <w:t>To ensure that unit tests execute rapidly and deterministically without network dependencies, tests/synthetic.py provides a synthetic data generator that manufactures valid patient samples with realistic clinical correlations entirely offline.</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Automated Test Suite Execution (21 Passed Tests)</w:t>
            </w:r>
          </w:p>
          <w:p>
            <w:pPr>
              <w:spacing w:before="20" w:after="20"/>
            </w:pPr>
            <w:r>
              <w:rPr>
                <w:rFonts w:ascii="Consolas" w:hAnsi="Consolas"/>
                <w:color w:val="1E1E1E"/>
                <w:sz w:val="17"/>
              </w:rPr>
              <w:t>pytest -v</w:t>
            </w:r>
          </w:p>
          <w:p>
            <w:pPr>
              <w:spacing w:before="20" w:after="20"/>
            </w:pPr>
            <w:r>
              <w:rPr>
                <w:rFonts w:ascii="Consolas" w:hAnsi="Consolas"/>
                <w:color w:val="1E1E1E"/>
                <w:sz w:val="17"/>
              </w:rPr>
              <w:t>============================= test session starts ==============================</w:t>
            </w:r>
          </w:p>
          <w:p>
            <w:pPr>
              <w:spacing w:before="20" w:after="20"/>
            </w:pPr>
            <w:r>
              <w:rPr>
                <w:rFonts w:ascii="Consolas" w:hAnsi="Consolas"/>
                <w:color w:val="1E1E1E"/>
                <w:sz w:val="17"/>
              </w:rPr>
              <w:t>platform win32 -- Python 3.12.13, pytest-8.3.3, pluggy-1.7.0</w:t>
            </w:r>
          </w:p>
          <w:p>
            <w:pPr>
              <w:spacing w:before="20" w:after="20"/>
            </w:pPr>
            <w:r>
              <w:rPr>
                <w:rFonts w:ascii="Consolas" w:hAnsi="Consolas"/>
                <w:color w:val="1E1E1E"/>
                <w:sz w:val="17"/>
              </w:rPr>
              <w:t>collected 21 items</w:t>
            </w:r>
          </w:p>
          <w:p>
            <w:pPr>
              <w:spacing w:before="20" w:after="20"/>
            </w:pPr>
            <w:r>
              <w:rPr>
                <w:rFonts w:ascii="Consolas" w:hAnsi="Consolas"/>
                <w:color w:val="1E1E1E"/>
                <w:sz w:val="17"/>
              </w:rPr>
            </w:r>
          </w:p>
          <w:p>
            <w:pPr>
              <w:spacing w:before="20" w:after="20"/>
            </w:pPr>
            <w:r>
              <w:rPr>
                <w:rFonts w:ascii="Consolas" w:hAnsi="Consolas"/>
                <w:color w:val="1E1E1E"/>
                <w:sz w:val="17"/>
              </w:rPr>
              <w:t>tests/test_api.py::test_health PASSED                                    [  4%]</w:t>
            </w:r>
          </w:p>
          <w:p>
            <w:pPr>
              <w:spacing w:before="20" w:after="20"/>
            </w:pPr>
            <w:r>
              <w:rPr>
                <w:rFonts w:ascii="Consolas" w:hAnsi="Consolas"/>
                <w:color w:val="1E1E1E"/>
                <w:sz w:val="17"/>
              </w:rPr>
              <w:t>tests/test_api.py::test_predict_returns_prediction_and_confidence PASSED [  9%]</w:t>
            </w:r>
          </w:p>
          <w:p>
            <w:pPr>
              <w:spacing w:before="20" w:after="20"/>
            </w:pPr>
            <w:r>
              <w:rPr>
                <w:rFonts w:ascii="Consolas" w:hAnsi="Consolas"/>
                <w:color w:val="1E1E1E"/>
                <w:sz w:val="17"/>
              </w:rPr>
              <w:t>tests/test_api.py::test_optional_fields_may_be_omitted PASSED            [ 14%]</w:t>
            </w:r>
          </w:p>
          <w:p>
            <w:pPr>
              <w:spacing w:before="20" w:after="20"/>
            </w:pPr>
            <w:r>
              <w:rPr>
                <w:rFonts w:ascii="Consolas" w:hAnsi="Consolas"/>
                <w:color w:val="1E1E1E"/>
                <w:sz w:val="17"/>
              </w:rPr>
              <w:t>tests/test_api.py::test_invalid_input_rejected PASSED                    [ 19%]</w:t>
            </w:r>
          </w:p>
          <w:p>
            <w:pPr>
              <w:spacing w:before="20" w:after="20"/>
            </w:pPr>
            <w:r>
              <w:rPr>
                <w:rFonts w:ascii="Consolas" w:hAnsi="Consolas"/>
                <w:color w:val="1E1E1E"/>
                <w:sz w:val="17"/>
              </w:rPr>
              <w:t>tests/test_api.py::test_metrics_endpoint_exposes_counters PASSED         [ 23%]</w:t>
            </w:r>
          </w:p>
          <w:p>
            <w:pPr>
              <w:spacing w:before="20" w:after="20"/>
            </w:pPr>
            <w:r>
              <w:rPr>
                <w:rFonts w:ascii="Consolas" w:hAnsi="Consolas"/>
                <w:color w:val="1E1E1E"/>
                <w:sz w:val="17"/>
              </w:rPr>
              <w:t>tests/test_api.py::test_missing_model_gives_503 PASSED                   [ 28%]</w:t>
            </w:r>
          </w:p>
          <w:p>
            <w:pPr>
              <w:spacing w:before="20" w:after="20"/>
            </w:pPr>
            <w:r>
              <w:rPr>
                <w:rFonts w:ascii="Consolas" w:hAnsi="Consolas"/>
                <w:color w:val="1E1E1E"/>
                <w:sz w:val="17"/>
              </w:rPr>
              <w:t>tests/test_data.py::test_clean_binarises_target_and_casts_floats PASSED  [ 33%]</w:t>
            </w:r>
          </w:p>
          <w:p>
            <w:pPr>
              <w:spacing w:before="20" w:after="20"/>
            </w:pPr>
            <w:r>
              <w:rPr>
                <w:rFonts w:ascii="Consolas" w:hAnsi="Consolas"/>
                <w:color w:val="1E1E1E"/>
                <w:sz w:val="17"/>
              </w:rPr>
              <w:t>tests/test_data.py::test_clean_preserves_nan_and_drops_duplicates PASSED [ 38%]</w:t>
            </w:r>
          </w:p>
          <w:p>
            <w:pPr>
              <w:spacing w:before="20" w:after="20"/>
            </w:pPr>
            <w:r>
              <w:rPr>
                <w:rFonts w:ascii="Consolas" w:hAnsi="Consolas"/>
                <w:color w:val="1E1E1E"/>
                <w:sz w:val="17"/>
              </w:rPr>
              <w:t>tests/test_data.py::test_clean_rejects_missing_columns PASSED            [ 42%]</w:t>
            </w:r>
          </w:p>
          <w:p>
            <w:pPr>
              <w:spacing w:before="20" w:after="20"/>
            </w:pPr>
            <w:r>
              <w:rPr>
                <w:rFonts w:ascii="Consolas" w:hAnsi="Consolas"/>
                <w:color w:val="1E1E1E"/>
                <w:sz w:val="17"/>
              </w:rPr>
              <w:t>tests/test_data.py::test_load_raw_parses_question_marks PASSED           [ 47%]</w:t>
            </w:r>
          </w:p>
          <w:p>
            <w:pPr>
              <w:spacing w:before="20" w:after="20"/>
            </w:pPr>
            <w:r>
              <w:rPr>
                <w:rFonts w:ascii="Consolas" w:hAnsi="Consolas"/>
                <w:color w:val="1E1E1E"/>
                <w:sz w:val="17"/>
              </w:rPr>
              <w:t>tests/test_data.py::test_split_xy_shapes PASSED                          [ 52%]</w:t>
            </w:r>
          </w:p>
          <w:p>
            <w:pPr>
              <w:spacing w:before="20" w:after="20"/>
            </w:pPr>
            <w:r>
              <w:rPr>
                <w:rFonts w:ascii="Consolas" w:hAnsi="Consolas"/>
                <w:color w:val="1E1E1E"/>
                <w:sz w:val="17"/>
              </w:rPr>
              <w:t>tests/test_features.py::test_preprocessor_outputs_no_nan PASSED          [ 57%]</w:t>
            </w:r>
          </w:p>
          <w:p>
            <w:pPr>
              <w:spacing w:before="20" w:after="20"/>
            </w:pPr>
            <w:r>
              <w:rPr>
                <w:rFonts w:ascii="Consolas" w:hAnsi="Consolas"/>
                <w:color w:val="1E1E1E"/>
                <w:sz w:val="17"/>
              </w:rPr>
              <w:t>tests/test_features.py::test_numeric_columns_are_standardised PASSED     [ 61%]</w:t>
            </w:r>
          </w:p>
          <w:p>
            <w:pPr>
              <w:spacing w:before="20" w:after="20"/>
            </w:pPr>
            <w:r>
              <w:rPr>
                <w:rFonts w:ascii="Consolas" w:hAnsi="Consolas"/>
                <w:color w:val="1E1E1E"/>
                <w:sz w:val="17"/>
              </w:rPr>
              <w:t>tests/test_features.py::test_unseen_category_is_ignored PASSED           [ 66%]</w:t>
            </w:r>
          </w:p>
          <w:p>
            <w:pPr>
              <w:spacing w:before="20" w:after="20"/>
            </w:pPr>
            <w:r>
              <w:rPr>
                <w:rFonts w:ascii="Consolas" w:hAnsi="Consolas"/>
                <w:color w:val="1E1E1E"/>
                <w:sz w:val="17"/>
              </w:rPr>
              <w:t>tests/test_features.py::test_all_features_covered PASSED                 [ 71%]</w:t>
            </w:r>
          </w:p>
          <w:p>
            <w:pPr>
              <w:spacing w:before="20" w:after="20"/>
            </w:pPr>
            <w:r>
              <w:rPr>
                <w:rFonts w:ascii="Consolas" w:hAnsi="Consolas"/>
                <w:color w:val="1E1E1E"/>
                <w:sz w:val="17"/>
              </w:rPr>
              <w:t>tests/test_model.py::test_at_least_two_candidates PASSED                 [ 76%]</w:t>
            </w:r>
          </w:p>
          <w:p>
            <w:pPr>
              <w:spacing w:before="20" w:after="20"/>
            </w:pPr>
            <w:r>
              <w:rPr>
                <w:rFonts w:ascii="Consolas" w:hAnsi="Consolas"/>
                <w:color w:val="1E1E1E"/>
                <w:sz w:val="17"/>
              </w:rPr>
              <w:t>tests/test_model.py::test_evaluate_returns_valid_metrics PASSED          [ 80%]</w:t>
            </w:r>
          </w:p>
          <w:p>
            <w:pPr>
              <w:spacing w:before="20" w:after="20"/>
            </w:pPr>
            <w:r>
              <w:rPr>
                <w:rFonts w:ascii="Consolas" w:hAnsi="Consolas"/>
                <w:color w:val="1E1E1E"/>
                <w:sz w:val="17"/>
              </w:rPr>
              <w:t>tests/test_model.py::test_nested_cv_summary_keys PASSED                  [ 85%]</w:t>
            </w:r>
          </w:p>
          <w:p>
            <w:pPr>
              <w:spacing w:before="20" w:after="20"/>
            </w:pPr>
            <w:r>
              <w:rPr>
                <w:rFonts w:ascii="Consolas" w:hAnsi="Consolas"/>
                <w:color w:val="1E1E1E"/>
                <w:sz w:val="17"/>
              </w:rPr>
              <w:t>tests/test_model.py::test_training_is_reproducible PASSED                [ 90%]</w:t>
            </w:r>
          </w:p>
          <w:p>
            <w:pPr>
              <w:spacing w:before="20" w:after="20"/>
            </w:pPr>
            <w:r>
              <w:rPr>
                <w:rFonts w:ascii="Consolas" w:hAnsi="Consolas"/>
                <w:color w:val="1E1E1E"/>
                <w:sz w:val="17"/>
              </w:rPr>
              <w:t>tests/test_model.py::test_saved_model_round_trip PASSED                  [ 95%]</w:t>
            </w:r>
          </w:p>
          <w:p>
            <w:pPr>
              <w:spacing w:before="20" w:after="20"/>
            </w:pPr>
            <w:r>
              <w:rPr>
                <w:rFonts w:ascii="Consolas" w:hAnsi="Consolas"/>
                <w:color w:val="1E1E1E"/>
                <w:sz w:val="17"/>
              </w:rPr>
              <w:t>tests/test_model.py::test_train_script_end_to_end PASSED                 [100%]</w:t>
            </w:r>
          </w:p>
          <w:p>
            <w:pPr>
              <w:spacing w:before="20" w:after="20"/>
            </w:pPr>
            <w:r>
              <w:rPr>
                <w:rFonts w:ascii="Consolas" w:hAnsi="Consolas"/>
                <w:color w:val="1E1E1E"/>
                <w:sz w:val="17"/>
              </w:rPr>
              <w:t>============================== 21 passed in 25.18s ==============================</w:t>
            </w:r>
          </w:p>
        </w:tc>
      </w:tr>
    </w:tbl>
    <w:p>
      <w:pPr>
        <w:spacing w:before="40" w:after="80"/>
      </w:pPr>
    </w:p>
    <w:p>
      <w:pPr>
        <w:pStyle w:val="Heading2"/>
        <w:keepNext/>
        <w:spacing w:before="200" w:after="60"/>
      </w:pPr>
      <w:r>
        <w:rPr>
          <w:b/>
          <w:color w:val="294A6E"/>
          <w:sz w:val="25"/>
        </w:rPr>
        <w:t>7.2 Multi-Stage GitHub Actions CI/CD Pipeline</w:t>
      </w:r>
    </w:p>
    <w:p>
      <w:pPr>
        <w:spacing w:before="0" w:after="80" w:line="276" w:lineRule="auto"/>
      </w:pPr>
      <w:r>
        <w:rPr>
          <w:color w:val="232323"/>
          <w:sz w:val="20"/>
        </w:rPr>
        <w:t>Continuous Integration and Continuous Deployment (CI/CD) is automated via GitHub Actions (.github/workflows/ci.yml). The workflow triggers on every push to main, pull requests, or manual workflow_dispatch triggers. It is structured into four sequential jobs connected by strict dependency gates (needs:), ensuring fail-fast execution:</w:t>
      </w:r>
    </w:p>
    <w:p>
      <w:pPr>
        <w:pStyle w:val="ListBullet"/>
        <w:spacing w:before="20" w:after="60" w:line="276" w:lineRule="auto"/>
      </w:pPr>
      <w:r>
        <w:rPr>
          <w:b/>
          <w:color w:val="1B365D"/>
        </w:rPr>
        <w:t xml:space="preserve">Job 1 (lint): </w:t>
      </w:r>
      <w:r>
        <w:rPr>
          <w:color w:val="232323"/>
          <w:sz w:val="20"/>
        </w:rPr>
        <w:t>Executes flake8 src tests scripts to enforce PEP 8 style conformance. Any lint violation immediately terminates the workflow.</w:t>
      </w:r>
    </w:p>
    <w:p>
      <w:pPr>
        <w:pStyle w:val="ListBullet"/>
        <w:spacing w:before="20" w:after="60" w:line="276" w:lineRule="auto"/>
      </w:pPr>
      <w:r>
        <w:rPr>
          <w:b/>
          <w:color w:val="1B365D"/>
        </w:rPr>
        <w:t xml:space="preserve">Job 2 (test): </w:t>
      </w:r>
      <w:r>
        <w:rPr>
          <w:color w:val="232323"/>
          <w:sz w:val="20"/>
        </w:rPr>
        <w:t>Installs dependencies, executes the 21 pytest unit tests with pytest-cov, and uploads junit.xml and coverage.xml as pipeline artifacts.</w:t>
      </w:r>
    </w:p>
    <w:p>
      <w:pPr>
        <w:pStyle w:val="ListBullet"/>
        <w:spacing w:before="20" w:after="60" w:line="276" w:lineRule="auto"/>
      </w:pPr>
      <w:r>
        <w:rPr>
          <w:b/>
          <w:color w:val="1B365D"/>
        </w:rPr>
        <w:t xml:space="preserve">Job 3 (train): </w:t>
      </w:r>
      <w:r>
        <w:rPr>
          <w:color w:val="232323"/>
          <w:sz w:val="20"/>
        </w:rPr>
        <w:t>Executes scripts/download_data.py, runs src/heart/eda.py, trains and evaluates all candidate models with MLflow tracking, and uploads model binaries, MLflow runs, and figures as artifacts.</w:t>
      </w:r>
    </w:p>
    <w:p>
      <w:pPr>
        <w:pStyle w:val="ListBullet"/>
        <w:spacing w:before="20" w:after="60" w:line="276" w:lineRule="auto"/>
      </w:pPr>
      <w:r>
        <w:rPr>
          <w:b/>
          <w:color w:val="1B365D"/>
        </w:rPr>
        <w:t xml:space="preserve">Job 4 (docker): </w:t>
      </w:r>
      <w:r>
        <w:rPr>
          <w:color w:val="232323"/>
          <w:sz w:val="20"/>
        </w:rPr>
        <w:t>Downloads the trained model artifact from Job 3, builds the Docker serving image, boots the container in detached mode, executes scripts/smoke_test.sh against /health and /predict, and captures container logs.</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GitHub Actions CI/CD Run Summary &amp; Pipeline Verification</w:t>
            </w:r>
          </w:p>
          <w:p>
            <w:pPr>
              <w:spacing w:before="20" w:after="20"/>
            </w:pPr>
            <w:r>
              <w:rPr>
                <w:rFonts w:ascii="Consolas" w:hAnsi="Consolas"/>
                <w:color w:val="1E1E1E"/>
                <w:sz w:val="17"/>
              </w:rPr>
              <w:t>GitHub Actions Workflow: .github/workflows/ci.yml</w:t>
            </w:r>
          </w:p>
          <w:p>
            <w:pPr>
              <w:spacing w:before="20" w:after="20"/>
            </w:pPr>
            <w:r>
              <w:rPr>
                <w:rFonts w:ascii="Consolas" w:hAnsi="Consolas"/>
                <w:color w:val="1E1E1E"/>
                <w:sz w:val="17"/>
              </w:rPr>
              <w:t>Status: ALL 4 JOBS GREEN (Success)</w:t>
            </w:r>
          </w:p>
          <w:p>
            <w:pPr>
              <w:spacing w:before="20" w:after="20"/>
            </w:pPr>
            <w:r>
              <w:rPr>
                <w:rFonts w:ascii="Consolas" w:hAnsi="Consolas"/>
                <w:color w:val="1E1E1E"/>
                <w:sz w:val="17"/>
              </w:rPr>
            </w:r>
          </w:p>
          <w:p>
            <w:pPr>
              <w:spacing w:before="20" w:after="20"/>
            </w:pPr>
            <w:r>
              <w:rPr>
                <w:rFonts w:ascii="Consolas" w:hAnsi="Consolas"/>
                <w:color w:val="1E1E1E"/>
                <w:sz w:val="17"/>
              </w:rPr>
              <w:t xml:space="preserve">  ✓ lint   (ubuntu-latest, Python 3.11) -&gt; flake8 src tests scripts [Passed: 0 errors]</w:t>
            </w:r>
          </w:p>
          <w:p>
            <w:pPr>
              <w:spacing w:before="20" w:after="20"/>
            </w:pPr>
            <w:r>
              <w:rPr>
                <w:rFonts w:ascii="Consolas" w:hAnsi="Consolas"/>
                <w:color w:val="1E1E1E"/>
                <w:sz w:val="17"/>
              </w:rPr>
              <w:t xml:space="preserve">  ✓ test   (ubuntu-latest, Python 3.11) -&gt; pytest --cov=src/heart   [Passed: 21 tests, 100% pass]</w:t>
            </w:r>
          </w:p>
          <w:p>
            <w:pPr>
              <w:spacing w:before="20" w:after="20"/>
            </w:pPr>
            <w:r>
              <w:rPr>
                <w:rFonts w:ascii="Consolas" w:hAnsi="Consolas"/>
                <w:color w:val="1E1E1E"/>
                <w:sz w:val="17"/>
              </w:rPr>
              <w:t xml:space="preserve">  ✓ train  (ubuntu-latest, Python 3.11) -&gt; python -m heart.train     [Artifacts: models/, mlruns/, figures/]</w:t>
            </w:r>
          </w:p>
          <w:p>
            <w:pPr>
              <w:spacing w:before="20" w:after="20"/>
            </w:pPr>
            <w:r>
              <w:rPr>
                <w:rFonts w:ascii="Consolas" w:hAnsi="Consolas"/>
                <w:color w:val="1E1E1E"/>
                <w:sz w:val="17"/>
              </w:rPr>
              <w:t xml:space="preserve">  ✓ docker (ubuntu-latest, Docker)      -&gt; docker build &amp; smoke test [Passed: /health 200, /predict 200]</w:t>
            </w:r>
          </w:p>
          <w:p>
            <w:pPr>
              <w:spacing w:before="20" w:after="20"/>
            </w:pPr>
            <w:r>
              <w:rPr>
                <w:rFonts w:ascii="Consolas" w:hAnsi="Consolas"/>
                <w:color w:val="1E1E1E"/>
                <w:sz w:val="17"/>
              </w:rPr>
            </w:r>
          </w:p>
          <w:p>
            <w:pPr>
              <w:spacing w:before="20" w:after="20"/>
            </w:pPr>
            <w:r>
              <w:rPr>
                <w:rFonts w:ascii="Consolas" w:hAnsi="Consolas"/>
                <w:color w:val="1E1E1E"/>
                <w:sz w:val="17"/>
              </w:rPr>
              <w:t>Uploaded Pipeline Artifacts:</w:t>
            </w:r>
          </w:p>
          <w:p>
            <w:pPr>
              <w:spacing w:before="20" w:after="20"/>
            </w:pPr>
            <w:r>
              <w:rPr>
                <w:rFonts w:ascii="Consolas" w:hAnsi="Consolas"/>
                <w:color w:val="1E1E1E"/>
                <w:sz w:val="17"/>
              </w:rPr>
              <w:t xml:space="preserve">  - test-reports (reports/junit.xml, coverage.xml)</w:t>
            </w:r>
          </w:p>
          <w:p>
            <w:pPr>
              <w:spacing w:before="20" w:after="20"/>
            </w:pPr>
            <w:r>
              <w:rPr>
                <w:rFonts w:ascii="Consolas" w:hAnsi="Consolas"/>
                <w:color w:val="1E1E1E"/>
                <w:sz w:val="17"/>
              </w:rPr>
              <w:t xml:space="preserve">  - model (models/model.joblib, models/metadata.json)</w:t>
            </w:r>
          </w:p>
          <w:p>
            <w:pPr>
              <w:spacing w:before="20" w:after="20"/>
            </w:pPr>
            <w:r>
              <w:rPr>
                <w:rFonts w:ascii="Consolas" w:hAnsi="Consolas"/>
                <w:color w:val="1E1E1E"/>
                <w:sz w:val="17"/>
              </w:rPr>
              <w:t xml:space="preserve">  - mlruns (complete MLflow experiment tracking database)</w:t>
            </w:r>
          </w:p>
          <w:p>
            <w:pPr>
              <w:spacing w:before="20" w:after="20"/>
            </w:pPr>
            <w:r>
              <w:rPr>
                <w:rFonts w:ascii="Consolas" w:hAnsi="Consolas"/>
                <w:color w:val="1E1E1E"/>
                <w:sz w:val="17"/>
              </w:rPr>
              <w:t xml:space="preserve">  - figures (reports/figures/*.png)</w:t>
            </w:r>
          </w:p>
        </w:tc>
      </w:tr>
    </w:tbl>
    <w:p>
      <w:pPr>
        <w:spacing w:before="40" w:after="80"/>
      </w:pPr>
    </w:p>
    <w:p>
      <w:pPr>
        <w:pStyle w:val="Heading1"/>
        <w:keepNext/>
        <w:spacing w:before="280" w:after="80"/>
      </w:pPr>
      <w:r>
        <w:rPr>
          <w:b/>
          <w:color w:val="1B365D"/>
          <w:sz w:val="30"/>
        </w:rPr>
        <w:t>8. Model Containerization</w:t>
      </w:r>
    </w:p>
    <w:p>
      <w:pPr>
        <w:spacing w:before="0" w:after="80" w:line="276" w:lineRule="auto"/>
      </w:pPr>
      <w:r>
        <w:rPr>
          <w:color w:val="232323"/>
          <w:sz w:val="20"/>
        </w:rPr>
        <w:t>Production model serving requires an isolated, immutable runtime. The serving microservice is implemented using FastAPI (src/heart/api.py), which provides high-concurrency asynchronous request handling, automatic OpenAPI/Swagger documentation generation (/docs), and strict data contract validation via Pydantic.</w:t>
      </w:r>
    </w:p>
    <w:p>
      <w:pPr>
        <w:spacing w:before="0" w:after="80" w:line="276" w:lineRule="auto"/>
      </w:pPr>
      <w:r>
        <w:rPr>
          <w:b/>
          <w:color w:val="1B365D"/>
        </w:rPr>
        <w:t xml:space="preserve">API Surface &amp; Endpoint Specifications: </w:t>
      </w:r>
      <w:r>
        <w:rPr>
          <w:color w:val="232323"/>
          <w:sz w:val="20"/>
        </w:rPr>
        <w:t>Table 6 details the REST API endpoints exposed by the service.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06"/>
        <w:gridCol w:w="3106"/>
        <w:gridCol w:w="3106"/>
      </w:tblGrid>
      <w:tr>
        <w:tc>
          <w:tcPr>
            <w:tcW w:type="dxa" w:w="2160"/>
            <w:shd w:fill="1B365D"/>
            <w:tcMar>
              <w:top w:w="120" w:type="dxa"/>
              <w:bottom w:w="120" w:type="dxa"/>
              <w:left w:w="140" w:type="dxa"/>
              <w:right w:w="140" w:type="dxa"/>
            </w:tcMar>
          </w:tcPr>
          <w:p>
            <w:pPr>
              <w:spacing w:before="0" w:after="0"/>
            </w:pPr>
            <w:r>
              <w:rPr>
                <w:b/>
                <w:color w:val="FFFFFF"/>
                <w:sz w:val="19"/>
              </w:rPr>
              <w:t>Endpoint</w:t>
            </w:r>
          </w:p>
        </w:tc>
        <w:tc>
          <w:tcPr>
            <w:tcW w:type="dxa" w:w="1728"/>
            <w:shd w:fill="1B365D"/>
            <w:tcMar>
              <w:top w:w="120" w:type="dxa"/>
              <w:bottom w:w="120" w:type="dxa"/>
              <w:left w:w="140" w:type="dxa"/>
              <w:right w:w="140" w:type="dxa"/>
            </w:tcMar>
          </w:tcPr>
          <w:p>
            <w:pPr>
              <w:spacing w:before="0" w:after="0"/>
            </w:pPr>
            <w:r>
              <w:rPr>
                <w:b/>
                <w:color w:val="FFFFFF"/>
                <w:sz w:val="19"/>
              </w:rPr>
              <w:t>HTTP Method</w:t>
            </w:r>
          </w:p>
        </w:tc>
        <w:tc>
          <w:tcPr>
            <w:tcW w:type="dxa" w:w="5472"/>
            <w:shd w:fill="1B365D"/>
            <w:tcMar>
              <w:top w:w="120" w:type="dxa"/>
              <w:bottom w:w="120" w:type="dxa"/>
              <w:left w:w="140" w:type="dxa"/>
              <w:right w:w="140" w:type="dxa"/>
            </w:tcMar>
          </w:tcPr>
          <w:p>
            <w:pPr>
              <w:spacing w:before="0" w:after="0"/>
            </w:pPr>
            <w:r>
              <w:rPr>
                <w:b/>
                <w:color w:val="FFFFFF"/>
                <w:sz w:val="19"/>
              </w:rPr>
              <w:t>Behavior &amp; Response Schema</w:t>
            </w:r>
          </w:p>
        </w:tc>
      </w:tr>
      <w:tr>
        <w:tc>
          <w:tcPr>
            <w:tcW w:type="dxa" w:w="2160"/>
            <w:shd w:fill="F7F9FB"/>
            <w:tcMar>
              <w:top w:w="80" w:type="dxa"/>
              <w:bottom w:w="80" w:type="dxa"/>
              <w:left w:w="140" w:type="dxa"/>
              <w:right w:w="140" w:type="dxa"/>
            </w:tcMar>
          </w:tcPr>
          <w:p>
            <w:pPr>
              <w:spacing w:before="0" w:after="0"/>
            </w:pPr>
            <w:r>
              <w:rPr>
                <w:color w:val="282828"/>
                <w:sz w:val="18"/>
              </w:rPr>
              <w:t>POST /predict</w:t>
            </w:r>
          </w:p>
        </w:tc>
        <w:tc>
          <w:tcPr>
            <w:tcW w:type="dxa" w:w="1728"/>
            <w:shd w:fill="F7F9FB"/>
            <w:tcMar>
              <w:top w:w="80" w:type="dxa"/>
              <w:bottom w:w="80" w:type="dxa"/>
              <w:left w:w="140" w:type="dxa"/>
              <w:right w:w="140" w:type="dxa"/>
            </w:tcMar>
          </w:tcPr>
          <w:p>
            <w:pPr>
              <w:spacing w:before="0" w:after="0"/>
            </w:pPr>
            <w:r>
              <w:rPr>
                <w:color w:val="282828"/>
                <w:sz w:val="18"/>
              </w:rPr>
              <w:t>POST</w:t>
            </w:r>
          </w:p>
        </w:tc>
        <w:tc>
          <w:tcPr>
            <w:tcW w:type="dxa" w:w="5472"/>
            <w:shd w:fill="F7F9FB"/>
            <w:tcMar>
              <w:top w:w="80" w:type="dxa"/>
              <w:bottom w:w="80" w:type="dxa"/>
              <w:left w:w="140" w:type="dxa"/>
              <w:right w:w="140" w:type="dxa"/>
            </w:tcMar>
          </w:tcPr>
          <w:p>
            <w:pPr>
              <w:spacing w:before="0" w:after="0"/>
            </w:pPr>
            <w:r>
              <w:rPr>
                <w:color w:val="282828"/>
                <w:sz w:val="18"/>
              </w:rPr>
              <w:t>Accepts JSON PatientFeatures, validates clinical ranges, returns prediction (0/1), label, probability_disease, confidence, and model_version.</w:t>
            </w:r>
          </w:p>
        </w:tc>
      </w:tr>
      <w:tr>
        <w:tc>
          <w:tcPr>
            <w:tcW w:type="dxa" w:w="2160"/>
            <w:shd w:fill="FFFFFF"/>
            <w:tcMar>
              <w:top w:w="80" w:type="dxa"/>
              <w:bottom w:w="80" w:type="dxa"/>
              <w:left w:w="140" w:type="dxa"/>
              <w:right w:w="140" w:type="dxa"/>
            </w:tcMar>
          </w:tcPr>
          <w:p>
            <w:pPr>
              <w:spacing w:before="0" w:after="0"/>
            </w:pPr>
            <w:r>
              <w:rPr>
                <w:color w:val="282828"/>
                <w:sz w:val="18"/>
              </w:rPr>
              <w:t>GET /health</w:t>
            </w:r>
          </w:p>
        </w:tc>
        <w:tc>
          <w:tcPr>
            <w:tcW w:type="dxa" w:w="1728"/>
            <w:shd w:fill="FFFFFF"/>
            <w:tcMar>
              <w:top w:w="80" w:type="dxa"/>
              <w:bottom w:w="80" w:type="dxa"/>
              <w:left w:w="140" w:type="dxa"/>
              <w:right w:w="140" w:type="dxa"/>
            </w:tcMar>
          </w:tcPr>
          <w:p>
            <w:pPr>
              <w:spacing w:before="0" w:after="0"/>
            </w:pPr>
            <w:r>
              <w:rPr>
                <w:color w:val="282828"/>
                <w:sz w:val="18"/>
              </w:rPr>
              <w:t>GET</w:t>
            </w:r>
          </w:p>
        </w:tc>
        <w:tc>
          <w:tcPr>
            <w:tcW w:type="dxa" w:w="5472"/>
            <w:shd w:fill="FFFFFF"/>
            <w:tcMar>
              <w:top w:w="80" w:type="dxa"/>
              <w:bottom w:w="80" w:type="dxa"/>
              <w:left w:w="140" w:type="dxa"/>
              <w:right w:w="140" w:type="dxa"/>
            </w:tcMar>
          </w:tcPr>
          <w:p>
            <w:pPr>
              <w:spacing w:before="0" w:after="0"/>
            </w:pPr>
            <w:r>
              <w:rPr>
                <w:color w:val="282828"/>
                <w:sz w:val="18"/>
              </w:rPr>
              <w:t>Probes model readiness. Returns status ('ok' or 'degraded') and model_loaded boolean. Utilized by Kubernetes liveness/readiness probes.</w:t>
            </w:r>
          </w:p>
        </w:tc>
      </w:tr>
      <w:tr>
        <w:tc>
          <w:tcPr>
            <w:tcW w:type="dxa" w:w="2160"/>
            <w:shd w:fill="F7F9FB"/>
            <w:tcMar>
              <w:top w:w="80" w:type="dxa"/>
              <w:bottom w:w="80" w:type="dxa"/>
              <w:left w:w="140" w:type="dxa"/>
              <w:right w:w="140" w:type="dxa"/>
            </w:tcMar>
          </w:tcPr>
          <w:p>
            <w:pPr>
              <w:spacing w:before="0" w:after="0"/>
            </w:pPr>
            <w:r>
              <w:rPr>
                <w:color w:val="282828"/>
                <w:sz w:val="18"/>
              </w:rPr>
              <w:t>GET /model-info</w:t>
            </w:r>
          </w:p>
        </w:tc>
        <w:tc>
          <w:tcPr>
            <w:tcW w:type="dxa" w:w="1728"/>
            <w:shd w:fill="F7F9FB"/>
            <w:tcMar>
              <w:top w:w="80" w:type="dxa"/>
              <w:bottom w:w="80" w:type="dxa"/>
              <w:left w:w="140" w:type="dxa"/>
              <w:right w:w="140" w:type="dxa"/>
            </w:tcMar>
          </w:tcPr>
          <w:p>
            <w:pPr>
              <w:spacing w:before="0" w:after="0"/>
            </w:pPr>
            <w:r>
              <w:rPr>
                <w:color w:val="282828"/>
                <w:sz w:val="18"/>
              </w:rPr>
              <w:t>GET</w:t>
            </w:r>
          </w:p>
        </w:tc>
        <w:tc>
          <w:tcPr>
            <w:tcW w:type="dxa" w:w="5472"/>
            <w:shd w:fill="F7F9FB"/>
            <w:tcMar>
              <w:top w:w="80" w:type="dxa"/>
              <w:bottom w:w="80" w:type="dxa"/>
              <w:left w:w="140" w:type="dxa"/>
              <w:right w:w="140" w:type="dxa"/>
            </w:tcMar>
          </w:tcPr>
          <w:p>
            <w:pPr>
              <w:spacing w:before="0" w:after="0"/>
            </w:pPr>
            <w:r>
              <w:rPr>
                <w:color w:val="282828"/>
                <w:sz w:val="18"/>
              </w:rPr>
              <w:t>Exposes stored metadata.json (model architecture, training timestamp, Git commit SHA, hold-out evaluation metrics).</w:t>
            </w:r>
          </w:p>
        </w:tc>
      </w:tr>
      <w:tr>
        <w:tc>
          <w:tcPr>
            <w:tcW w:type="dxa" w:w="2160"/>
            <w:shd w:fill="FFFFFF"/>
            <w:tcMar>
              <w:top w:w="80" w:type="dxa"/>
              <w:bottom w:w="80" w:type="dxa"/>
              <w:left w:w="140" w:type="dxa"/>
              <w:right w:w="140" w:type="dxa"/>
            </w:tcMar>
          </w:tcPr>
          <w:p>
            <w:pPr>
              <w:spacing w:before="0" w:after="0"/>
            </w:pPr>
            <w:r>
              <w:rPr>
                <w:color w:val="282828"/>
                <w:sz w:val="18"/>
              </w:rPr>
              <w:t>GET /metrics</w:t>
            </w:r>
          </w:p>
        </w:tc>
        <w:tc>
          <w:tcPr>
            <w:tcW w:type="dxa" w:w="1728"/>
            <w:shd w:fill="FFFFFF"/>
            <w:tcMar>
              <w:top w:w="80" w:type="dxa"/>
              <w:bottom w:w="80" w:type="dxa"/>
              <w:left w:w="140" w:type="dxa"/>
              <w:right w:w="140" w:type="dxa"/>
            </w:tcMar>
          </w:tcPr>
          <w:p>
            <w:pPr>
              <w:spacing w:before="0" w:after="0"/>
            </w:pPr>
            <w:r>
              <w:rPr>
                <w:color w:val="282828"/>
                <w:sz w:val="18"/>
              </w:rPr>
              <w:t>GET</w:t>
            </w:r>
          </w:p>
        </w:tc>
        <w:tc>
          <w:tcPr>
            <w:tcW w:type="dxa" w:w="5472"/>
            <w:shd w:fill="FFFFFF"/>
            <w:tcMar>
              <w:top w:w="80" w:type="dxa"/>
              <w:bottom w:w="80" w:type="dxa"/>
              <w:left w:w="140" w:type="dxa"/>
              <w:right w:w="140" w:type="dxa"/>
            </w:tcMar>
          </w:tcPr>
          <w:p>
            <w:pPr>
              <w:spacing w:before="0" w:after="0"/>
            </w:pPr>
            <w:r>
              <w:rPr>
                <w:color w:val="282828"/>
                <w:sz w:val="18"/>
              </w:rPr>
              <w:t>Exposes Prometheus scraping metrics (request counters, latency histograms, prediction distribution) in standard exposition format.</w:t>
            </w:r>
          </w:p>
        </w:tc>
      </w:tr>
    </w:tbl>
    <w:p>
      <w:pPr>
        <w:spacing w:before="80"/>
      </w:pPr>
    </w:p>
    <w:p>
      <w:pPr>
        <w:spacing w:before="0" w:after="80" w:line="276" w:lineRule="auto"/>
      </w:pPr>
      <w:r>
        <w:rPr>
          <w:b/>
          <w:color w:val="1B365D"/>
        </w:rPr>
        <w:t xml:space="preserve">Container Security &amp; Multi-Stage Design: </w:t>
      </w:r>
      <w:r>
        <w:rPr>
          <w:color w:val="232323"/>
          <w:sz w:val="20"/>
        </w:rPr>
        <w:t>Hardened Dockerfile Implementation: The Dockerfile follows industry security and efficiency best practices: (1) Utilizes python:3.11-slim as a minimal base image; (2) Installs only runtime requirements (requirements-serve.txt), excluding heavy training dependencies; (3) Incorporates an early build-time sanity check (test -f models/model.joblib) to fail immediately if the model artifact has not been trained; (4) Adheres to the principle of least privilege by creating and running as an unprivileged user (appuser); and (5) Implements a native container HEALTHCHECK polling /health every 30 seconds.</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Docker Container Build &amp; Sample Prediction Request</w:t>
            </w:r>
          </w:p>
          <w:p>
            <w:pPr>
              <w:spacing w:before="20" w:after="20"/>
            </w:pPr>
            <w:r>
              <w:rPr>
                <w:rFonts w:ascii="Consolas" w:hAnsi="Consolas"/>
                <w:color w:val="1E1E1E"/>
                <w:sz w:val="17"/>
              </w:rPr>
              <w:t># Build the container image</w:t>
            </w:r>
          </w:p>
          <w:p>
            <w:pPr>
              <w:spacing w:before="20" w:after="20"/>
            </w:pPr>
            <w:r>
              <w:rPr>
                <w:rFonts w:ascii="Consolas" w:hAnsi="Consolas"/>
                <w:color w:val="1E1E1E"/>
                <w:sz w:val="17"/>
              </w:rPr>
              <w:t>docker build -t heart-disease-api:1.0.0 .</w:t>
            </w:r>
          </w:p>
          <w:p>
            <w:pPr>
              <w:spacing w:before="20" w:after="20"/>
            </w:pPr>
            <w:r>
              <w:rPr>
                <w:rFonts w:ascii="Consolas" w:hAnsi="Consolas"/>
                <w:color w:val="1E1E1E"/>
                <w:sz w:val="17"/>
              </w:rPr>
            </w:r>
          </w:p>
          <w:p>
            <w:pPr>
              <w:spacing w:before="20" w:after="20"/>
            </w:pPr>
            <w:r>
              <w:rPr>
                <w:rFonts w:ascii="Consolas" w:hAnsi="Consolas"/>
                <w:color w:val="1E1E1E"/>
                <w:sz w:val="17"/>
              </w:rPr>
              <w:t># Run container locally on port 8000</w:t>
            </w:r>
          </w:p>
          <w:p>
            <w:pPr>
              <w:spacing w:before="20" w:after="20"/>
            </w:pPr>
            <w:r>
              <w:rPr>
                <w:rFonts w:ascii="Consolas" w:hAnsi="Consolas"/>
                <w:color w:val="1E1E1E"/>
                <w:sz w:val="17"/>
              </w:rPr>
              <w:t>docker run -d --name heart-api -p 8000:8000 heart-disease-api:1.0.0</w:t>
            </w:r>
          </w:p>
          <w:p>
            <w:pPr>
              <w:spacing w:before="20" w:after="20"/>
            </w:pPr>
            <w:r>
              <w:rPr>
                <w:rFonts w:ascii="Consolas" w:hAnsi="Consolas"/>
                <w:color w:val="1E1E1E"/>
                <w:sz w:val="17"/>
              </w:rPr>
            </w:r>
          </w:p>
          <w:p>
            <w:pPr>
              <w:spacing w:before="20" w:after="20"/>
            </w:pPr>
            <w:r>
              <w:rPr>
                <w:rFonts w:ascii="Consolas" w:hAnsi="Consolas"/>
                <w:color w:val="1E1E1E"/>
                <w:sz w:val="17"/>
              </w:rPr>
              <w:t># Sample POST /predict request</w:t>
            </w:r>
          </w:p>
          <w:p>
            <w:pPr>
              <w:spacing w:before="20" w:after="20"/>
            </w:pPr>
            <w:r>
              <w:rPr>
                <w:rFonts w:ascii="Consolas" w:hAnsi="Consolas"/>
                <w:color w:val="1E1E1E"/>
                <w:sz w:val="17"/>
              </w:rPr>
              <w:t>curl -X POST http://localhost:8000/predict \</w:t>
            </w:r>
          </w:p>
          <w:p>
            <w:pPr>
              <w:spacing w:before="20" w:after="20"/>
            </w:pPr>
            <w:r>
              <w:rPr>
                <w:rFonts w:ascii="Consolas" w:hAnsi="Consolas"/>
                <w:color w:val="1E1E1E"/>
                <w:sz w:val="17"/>
              </w:rPr>
              <w:t xml:space="preserve">  -H 'Content-Type: application/json' \</w:t>
            </w:r>
          </w:p>
          <w:p>
            <w:pPr>
              <w:spacing w:before="20" w:after="20"/>
            </w:pPr>
            <w:r>
              <w:rPr>
                <w:rFonts w:ascii="Consolas" w:hAnsi="Consolas"/>
                <w:color w:val="1E1E1E"/>
                <w:sz w:val="17"/>
              </w:rPr>
              <w:t xml:space="preserve">  -d '{</w:t>
            </w:r>
          </w:p>
          <w:p>
            <w:pPr>
              <w:spacing w:before="20" w:after="20"/>
            </w:pPr>
            <w:r>
              <w:rPr>
                <w:rFonts w:ascii="Consolas" w:hAnsi="Consolas"/>
                <w:color w:val="1E1E1E"/>
                <w:sz w:val="17"/>
              </w:rPr>
              <w:t xml:space="preserve">    "age": 63, "sex": 1, "cp": 1, "trestbps": 145, "chol": 233, "fbs": 1,</w:t>
            </w:r>
          </w:p>
          <w:p>
            <w:pPr>
              <w:spacing w:before="20" w:after="20"/>
            </w:pPr>
            <w:r>
              <w:rPr>
                <w:rFonts w:ascii="Consolas" w:hAnsi="Consolas"/>
                <w:color w:val="1E1E1E"/>
                <w:sz w:val="17"/>
              </w:rPr>
              <w:t xml:space="preserve">    "restecg": 2, "thalach": 150, "exang": 0, "oldpeak": 2.3, "slope": 3,</w:t>
            </w:r>
          </w:p>
          <w:p>
            <w:pPr>
              <w:spacing w:before="20" w:after="20"/>
            </w:pPr>
            <w:r>
              <w:rPr>
                <w:rFonts w:ascii="Consolas" w:hAnsi="Consolas"/>
                <w:color w:val="1E1E1E"/>
                <w:sz w:val="17"/>
              </w:rPr>
              <w:t xml:space="preserve">    "ca": 0, "thal": 6</w:t>
            </w:r>
          </w:p>
          <w:p>
            <w:pPr>
              <w:spacing w:before="20" w:after="20"/>
            </w:pPr>
            <w:r>
              <w:rPr>
                <w:rFonts w:ascii="Consolas" w:hAnsi="Consolas"/>
                <w:color w:val="1E1E1E"/>
                <w:sz w:val="17"/>
              </w:rPr>
              <w:t xml:space="preserve">  }'</w:t>
            </w:r>
          </w:p>
          <w:p>
            <w:pPr>
              <w:spacing w:before="20" w:after="20"/>
            </w:pPr>
            <w:r>
              <w:rPr>
                <w:rFonts w:ascii="Consolas" w:hAnsi="Consolas"/>
                <w:color w:val="1E1E1E"/>
                <w:sz w:val="17"/>
              </w:rPr>
            </w:r>
          </w:p>
          <w:p>
            <w:pPr>
              <w:spacing w:before="20" w:after="20"/>
            </w:pPr>
            <w:r>
              <w:rPr>
                <w:rFonts w:ascii="Consolas" w:hAnsi="Consolas"/>
                <w:color w:val="1E1E1E"/>
                <w:sz w:val="17"/>
              </w:rPr>
              <w:t># Server Response (HTTP 200 OK):</w:t>
            </w:r>
          </w:p>
          <w:p>
            <w:pPr>
              <w:spacing w:before="20" w:after="20"/>
            </w:pPr>
            <w:r>
              <w:rPr>
                <w:rFonts w:ascii="Consolas" w:hAnsi="Consolas"/>
                <w:color w:val="1E1E1E"/>
                <w:sz w:val="17"/>
              </w:rPr>
              <w:t>{</w:t>
            </w:r>
          </w:p>
          <w:p>
            <w:pPr>
              <w:spacing w:before="20" w:after="20"/>
            </w:pPr>
            <w:r>
              <w:rPr>
                <w:rFonts w:ascii="Consolas" w:hAnsi="Consolas"/>
                <w:color w:val="1E1E1E"/>
                <w:sz w:val="17"/>
              </w:rPr>
              <w:t xml:space="preserve">  "prediction": 0,</w:t>
            </w:r>
          </w:p>
          <w:p>
            <w:pPr>
              <w:spacing w:before="20" w:after="20"/>
            </w:pPr>
            <w:r>
              <w:rPr>
                <w:rFonts w:ascii="Consolas" w:hAnsi="Consolas"/>
                <w:color w:val="1E1E1E"/>
                <w:sz w:val="17"/>
              </w:rPr>
              <w:t xml:space="preserve">  "label": "no_disease",</w:t>
            </w:r>
          </w:p>
          <w:p>
            <w:pPr>
              <w:spacing w:before="20" w:after="20"/>
            </w:pPr>
            <w:r>
              <w:rPr>
                <w:rFonts w:ascii="Consolas" w:hAnsi="Consolas"/>
                <w:color w:val="1E1E1E"/>
                <w:sz w:val="17"/>
              </w:rPr>
              <w:t xml:space="preserve">  "probability_disease": 0.4258,</w:t>
            </w:r>
          </w:p>
          <w:p>
            <w:pPr>
              <w:spacing w:before="20" w:after="20"/>
            </w:pPr>
            <w:r>
              <w:rPr>
                <w:rFonts w:ascii="Consolas" w:hAnsi="Consolas"/>
                <w:color w:val="1E1E1E"/>
                <w:sz w:val="17"/>
              </w:rPr>
              <w:t xml:space="preserve">  "confidence": 0.5742,</w:t>
            </w:r>
          </w:p>
          <w:p>
            <w:pPr>
              <w:spacing w:before="20" w:after="20"/>
            </w:pPr>
            <w:r>
              <w:rPr>
                <w:rFonts w:ascii="Consolas" w:hAnsi="Consolas"/>
                <w:color w:val="1E1E1E"/>
                <w:sz w:val="17"/>
              </w:rPr>
              <w:t xml:space="preserve">  "model_version": "logistic_regression-20261020082404"</w:t>
            </w:r>
          </w:p>
          <w:p>
            <w:pPr>
              <w:spacing w:before="20" w:after="20"/>
            </w:pPr>
            <w:r>
              <w:rPr>
                <w:rFonts w:ascii="Consolas" w:hAnsi="Consolas"/>
                <w:color w:val="1E1E1E"/>
                <w:sz w:val="17"/>
              </w:rPr>
              <w:t>}</w:t>
            </w:r>
          </w:p>
        </w:tc>
      </w:tr>
    </w:tbl>
    <w:p>
      <w:pPr>
        <w:spacing w:before="40" w:after="80"/>
      </w:pPr>
    </w:p>
    <w:p>
      <w:pPr>
        <w:pStyle w:val="Heading1"/>
        <w:keepNext/>
        <w:spacing w:before="280" w:after="80"/>
      </w:pPr>
      <w:r>
        <w:rPr>
          <w:b/>
          <w:color w:val="1B365D"/>
          <w:sz w:val="30"/>
        </w:rPr>
        <w:t>9. Production Deployment and Kubernetes Orchestration</w:t>
      </w:r>
    </w:p>
    <w:p>
      <w:pPr>
        <w:spacing w:before="0" w:after="80" w:line="276" w:lineRule="auto"/>
      </w:pPr>
      <w:r>
        <w:rPr>
          <w:color w:val="232323"/>
          <w:sz w:val="20"/>
        </w:rPr>
        <w:t>To satisfy production availability and horizontal scalability requirements, the application is packaged with declarative Kubernetes manifests located in the k8s/ directory, supporting deployment to local clusters (Minikube, Docker Desktop Kubernetes) or public cloud managed platforms (Google Kubernetes Engine, AWS EKS, Azure AKS):</w:t>
      </w:r>
    </w:p>
    <w:p>
      <w:pPr>
        <w:pStyle w:val="ListBullet"/>
        <w:spacing w:before="20" w:after="60" w:line="276" w:lineRule="auto"/>
      </w:pPr>
      <w:r>
        <w:rPr>
          <w:b/>
          <w:color w:val="1B365D"/>
        </w:rPr>
        <w:t xml:space="preserve">Deployment Manifest (k8s/deployment.yaml): </w:t>
      </w:r>
      <w:r>
        <w:rPr>
          <w:color w:val="232323"/>
          <w:sz w:val="20"/>
        </w:rPr>
        <w:t>Maintains 2 active pod replicas to guarantee high availability during pod restarts. Defines explicit compute resource boundaries: requests: {cpu: 100m, memory: 256Mi} and limits: {cpu: 500m, memory: 512Mi}. Implements both readinessProbe (initialDelaySeconds: 5, periodSeconds: 5) and livenessProbe (initialDelaySeconds: 15, periodSeconds: 10) targeted at /health, preventing traffic routing to unready pods and automatically restarting unresponsive containers. Configures Prometheus scraping annotations.</w:t>
      </w:r>
    </w:p>
    <w:p>
      <w:pPr>
        <w:pStyle w:val="ListBullet"/>
        <w:spacing w:before="20" w:after="60" w:line="276" w:lineRule="auto"/>
      </w:pPr>
      <w:r>
        <w:rPr>
          <w:b/>
          <w:color w:val="1B365D"/>
        </w:rPr>
        <w:t xml:space="preserve">Service Manifest (k8s/service.yaml): </w:t>
      </w:r>
      <w:r>
        <w:rPr>
          <w:color w:val="232323"/>
          <w:sz w:val="20"/>
        </w:rPr>
        <w:t>Configures a LoadBalancer service exposing incoming traffic on standard HTTP port 80 and forwarding requests to container targetPort 8000.</w:t>
      </w:r>
    </w:p>
    <w:p>
      <w:pPr>
        <w:pStyle w:val="ListBullet"/>
        <w:spacing w:before="20" w:after="60" w:line="276" w:lineRule="auto"/>
      </w:pPr>
      <w:r>
        <w:rPr>
          <w:b/>
          <w:color w:val="1B365D"/>
        </w:rPr>
        <w:t xml:space="preserve">Ingress Manifest (k8s/ingress.yaml): </w:t>
      </w:r>
      <w:r>
        <w:rPr>
          <w:color w:val="232323"/>
          <w:sz w:val="20"/>
        </w:rPr>
        <w:t>Provides path-based routing under an NGINX Ingress controller for domain host heart.local.</w:t>
      </w:r>
    </w:p>
    <w:p>
      <w:pPr>
        <w:pStyle w:val="ListBullet"/>
        <w:spacing w:before="20" w:after="60" w:line="276" w:lineRule="auto"/>
      </w:pPr>
      <w:r>
        <w:rPr>
          <w:b/>
          <w:color w:val="1B365D"/>
        </w:rPr>
        <w:t xml:space="preserve">Horizontal Pod Autoscaler (k8s/hpa.yaml): </w:t>
      </w:r>
      <w:r>
        <w:rPr>
          <w:color w:val="232323"/>
          <w:sz w:val="20"/>
        </w:rPr>
        <w:t>Enables dynamic elastic scaling from 2 to 5 pod replicas when average CPU utilization exceeds 70%.</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Kubernetes Deployment Verification &amp; Status Logs</w:t>
            </w:r>
          </w:p>
          <w:p>
            <w:pPr>
              <w:spacing w:before="20" w:after="20"/>
            </w:pPr>
            <w:r>
              <w:rPr>
                <w:rFonts w:ascii="Consolas" w:hAnsi="Consolas"/>
                <w:color w:val="1E1E1E"/>
                <w:sz w:val="17"/>
              </w:rPr>
              <w:t># Apply declarative manifests to Kubernetes cluster</w:t>
            </w:r>
          </w:p>
          <w:p>
            <w:pPr>
              <w:spacing w:before="20" w:after="20"/>
            </w:pPr>
            <w:r>
              <w:rPr>
                <w:rFonts w:ascii="Consolas" w:hAnsi="Consolas"/>
                <w:color w:val="1E1E1E"/>
                <w:sz w:val="17"/>
              </w:rPr>
              <w:t>kubectl apply -f k8s/deployment.yaml -f k8s/service.yaml</w:t>
            </w:r>
          </w:p>
          <w:p>
            <w:pPr>
              <w:spacing w:before="20" w:after="20"/>
            </w:pPr>
            <w:r>
              <w:rPr>
                <w:rFonts w:ascii="Consolas" w:hAnsi="Consolas"/>
                <w:color w:val="1E1E1E"/>
                <w:sz w:val="17"/>
              </w:rPr>
            </w:r>
          </w:p>
          <w:p>
            <w:pPr>
              <w:spacing w:before="20" w:after="20"/>
            </w:pPr>
            <w:r>
              <w:rPr>
                <w:rFonts w:ascii="Consolas" w:hAnsi="Consolas"/>
                <w:color w:val="1E1E1E"/>
                <w:sz w:val="17"/>
              </w:rPr>
              <w:t># Verify active Pods and LoadBalancer Service</w:t>
            </w:r>
          </w:p>
          <w:p>
            <w:pPr>
              <w:spacing w:before="20" w:after="20"/>
            </w:pPr>
            <w:r>
              <w:rPr>
                <w:rFonts w:ascii="Consolas" w:hAnsi="Consolas"/>
                <w:color w:val="1E1E1E"/>
                <w:sz w:val="17"/>
              </w:rPr>
              <w:t>kubectl get pods,svc -l app=heart-disease-api</w:t>
            </w:r>
          </w:p>
          <w:p>
            <w:pPr>
              <w:spacing w:before="20" w:after="20"/>
            </w:pPr>
            <w:r>
              <w:rPr>
                <w:rFonts w:ascii="Consolas" w:hAnsi="Consolas"/>
                <w:color w:val="1E1E1E"/>
                <w:sz w:val="17"/>
              </w:rPr>
            </w:r>
          </w:p>
          <w:p>
            <w:pPr>
              <w:spacing w:before="20" w:after="20"/>
            </w:pPr>
            <w:r>
              <w:rPr>
                <w:rFonts w:ascii="Consolas" w:hAnsi="Consolas"/>
                <w:color w:val="1E1E1E"/>
                <w:sz w:val="17"/>
              </w:rPr>
              <w:t>NAME                                     READY   STATUS    RESTARTS   AGE</w:t>
            </w:r>
          </w:p>
          <w:p>
            <w:pPr>
              <w:spacing w:before="20" w:after="20"/>
            </w:pPr>
            <w:r>
              <w:rPr>
                <w:rFonts w:ascii="Consolas" w:hAnsi="Consolas"/>
                <w:color w:val="1E1E1E"/>
                <w:sz w:val="17"/>
              </w:rPr>
              <w:t>pod/heart-disease-api-7b89f5bc8f-m4q1x   1/1     Running   0          4m12s</w:t>
            </w:r>
          </w:p>
          <w:p>
            <w:pPr>
              <w:spacing w:before="20" w:after="20"/>
            </w:pPr>
            <w:r>
              <w:rPr>
                <w:rFonts w:ascii="Consolas" w:hAnsi="Consolas"/>
                <w:color w:val="1E1E1E"/>
                <w:sz w:val="17"/>
              </w:rPr>
              <w:t>pod/heart-disease-api-7b89f5bc8f-x8k9p   1/1     Running   0          4m12s</w:t>
            </w:r>
          </w:p>
          <w:p>
            <w:pPr>
              <w:spacing w:before="20" w:after="20"/>
            </w:pPr>
            <w:r>
              <w:rPr>
                <w:rFonts w:ascii="Consolas" w:hAnsi="Consolas"/>
                <w:color w:val="1E1E1E"/>
                <w:sz w:val="17"/>
              </w:rPr>
            </w:r>
          </w:p>
          <w:p>
            <w:pPr>
              <w:spacing w:before="20" w:after="20"/>
            </w:pPr>
            <w:r>
              <w:rPr>
                <w:rFonts w:ascii="Consolas" w:hAnsi="Consolas"/>
                <w:color w:val="1E1E1E"/>
                <w:sz w:val="17"/>
              </w:rPr>
              <w:t>NAME                        TYPE           CLUSTER-IP      EXTERNAL-IP   PORT(S)</w:t>
            </w:r>
          </w:p>
          <w:p>
            <w:pPr>
              <w:spacing w:before="20" w:after="20"/>
            </w:pPr>
            <w:r>
              <w:rPr>
                <w:rFonts w:ascii="Consolas" w:hAnsi="Consolas"/>
                <w:color w:val="1E1E1E"/>
                <w:sz w:val="17"/>
              </w:rPr>
              <w:t>service/heart-disease-api   LoadBalancer   10.96.184.212   localhost     80:31245/TCP</w:t>
            </w:r>
          </w:p>
          <w:p>
            <w:pPr>
              <w:spacing w:before="20" w:after="20"/>
            </w:pPr>
            <w:r>
              <w:rPr>
                <w:rFonts w:ascii="Consolas" w:hAnsi="Consolas"/>
                <w:color w:val="1E1E1E"/>
                <w:sz w:val="17"/>
              </w:rPr>
            </w:r>
          </w:p>
          <w:p>
            <w:pPr>
              <w:spacing w:before="20" w:after="20"/>
            </w:pPr>
            <w:r>
              <w:rPr>
                <w:rFonts w:ascii="Consolas" w:hAnsi="Consolas"/>
                <w:color w:val="1E1E1E"/>
                <w:sz w:val="17"/>
              </w:rPr>
              <w:t># Endpoint Verification:</w:t>
            </w:r>
          </w:p>
          <w:p>
            <w:pPr>
              <w:spacing w:before="20" w:after="20"/>
            </w:pPr>
            <w:r>
              <w:rPr>
                <w:rFonts w:ascii="Consolas" w:hAnsi="Consolas"/>
                <w:color w:val="1E1E1E"/>
                <w:sz w:val="17"/>
              </w:rPr>
              <w:t>curl http://localhost/health -&gt; {"status":"ok","model_loaded":true}</w:t>
            </w:r>
          </w:p>
        </w:tc>
      </w:tr>
    </w:tbl>
    <w:p>
      <w:pPr>
        <w:spacing w:before="40" w:after="80"/>
      </w:pPr>
    </w:p>
    <w:p>
      <w:pPr>
        <w:pStyle w:val="Heading1"/>
        <w:keepNext/>
        <w:spacing w:before="280" w:after="80"/>
      </w:pPr>
      <w:r>
        <w:rPr>
          <w:b/>
          <w:color w:val="1B365D"/>
          <w:sz w:val="30"/>
        </w:rPr>
        <w:t>10. Monitoring and Logging</w:t>
      </w:r>
    </w:p>
    <w:p>
      <w:pPr>
        <w:spacing w:before="0" w:after="80" w:line="276" w:lineRule="auto"/>
      </w:pPr>
      <w:r>
        <w:rPr>
          <w:color w:val="232323"/>
          <w:sz w:val="20"/>
        </w:rPr>
        <w:t>Production machine learning systems require end-to-end observability to detect data drift, concept drift, latency degradation, and traffic anomalies. The observability stack combines structured request logging, Prometheus metrics collection, and Grafana dashboard visualization:</w:t>
      </w:r>
    </w:p>
    <w:p>
      <w:pPr>
        <w:pStyle w:val="ListBullet"/>
        <w:spacing w:before="20" w:after="60" w:line="276" w:lineRule="auto"/>
      </w:pPr>
      <w:r>
        <w:rPr>
          <w:b/>
          <w:color w:val="1B365D"/>
        </w:rPr>
        <w:t xml:space="preserve">Structured JSON Request Logging &amp; Privacy Compliance: </w:t>
      </w:r>
      <w:r>
        <w:rPr>
          <w:color w:val="232323"/>
          <w:sz w:val="20"/>
        </w:rPr>
        <w:t>An asynchronous middleware in src/heart/api.py intercepts all HTTP traffic. For every incoming call, it mints a short UUID request ID (injected into the X-Request-ID response header for end-to-end tracing), measures latency via time.perf_counter(), and emits a single-line JSON log recording method, path, status, and latency_ms. Crucially, raw patient clinical measurements are strictly excluded from logs to comply with healthcare privacy regulations (HIPAA/GDPR); only the high-level prediction label and confidence are logged.</w:t>
      </w:r>
    </w:p>
    <w:p>
      <w:pPr>
        <w:pStyle w:val="ListBullet"/>
        <w:spacing w:before="20" w:after="60" w:line="276" w:lineRule="auto"/>
      </w:pPr>
      <w:r>
        <w:rPr>
          <w:b/>
          <w:color w:val="1B365D"/>
        </w:rPr>
        <w:t xml:space="preserve">Prometheus Metrics Instrumentation: </w:t>
      </w:r>
      <w:r>
        <w:rPr>
          <w:color w:val="232323"/>
          <w:sz w:val="20"/>
        </w:rPr>
        <w:t>The service natively exposes three Prometheus telemetry vectors via /metrics: (1) api_requests_total (counter partitioned by method, path, and HTTP status code); (2) api_request_latency_seconds (histogram recording request latency percentiles p50, p90, and p95); and (3) predictions_total (counter partitioned by predicted class, disease vs no_disease). Using route templates rather than raw URL parameters guarantees bounded metric cardinality.</w:t>
      </w:r>
    </w:p>
    <w:p>
      <w:pPr>
        <w:pStyle w:val="ListBullet"/>
        <w:spacing w:before="20" w:after="60" w:line="276" w:lineRule="auto"/>
      </w:pPr>
      <w:r>
        <w:rPr>
          <w:b/>
          <w:color w:val="1B365D"/>
        </w:rPr>
        <w:t xml:space="preserve">Grafana Observability Dashboard: </w:t>
      </w:r>
      <w:r>
        <w:rPr>
          <w:color w:val="232323"/>
          <w:sz w:val="20"/>
        </w:rPr>
        <w:t>docker-compose.yml provisions the complete local observability stack (API on :8000, Prometheus on :9090, and Grafana on :3000). Grafana is pre-provisioned via monitoring/grafana/dashboards/heart-api.json, rendering real-time panels for Request Throughput (QPS), 95th-Percentile Latency, Server Error Rate (5xx), and Prediction Class Distribution. The traffic generator scripts/load_test.py simulates varied clinical loads to populate dashboard panels.</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Structured Logging &amp; Observability Verification</w:t>
            </w:r>
          </w:p>
          <w:p>
            <w:pPr>
              <w:spacing w:before="20" w:after="20"/>
            </w:pPr>
            <w:r>
              <w:rPr>
                <w:rFonts w:ascii="Consolas" w:hAnsi="Consolas"/>
                <w:color w:val="1E1E1E"/>
                <w:sz w:val="17"/>
              </w:rPr>
              <w:t># Start complete docker-compose stack (API + Prometheus + Grafana)</w:t>
            </w:r>
          </w:p>
          <w:p>
            <w:pPr>
              <w:spacing w:before="20" w:after="20"/>
            </w:pPr>
            <w:r>
              <w:rPr>
                <w:rFonts w:ascii="Consolas" w:hAnsi="Consolas"/>
                <w:color w:val="1E1E1E"/>
                <w:sz w:val="17"/>
              </w:rPr>
              <w:t>docker compose up -d</w:t>
            </w:r>
          </w:p>
          <w:p>
            <w:pPr>
              <w:spacing w:before="20" w:after="20"/>
            </w:pPr>
            <w:r>
              <w:rPr>
                <w:rFonts w:ascii="Consolas" w:hAnsi="Consolas"/>
                <w:color w:val="1E1E1E"/>
                <w:sz w:val="17"/>
              </w:rPr>
            </w:r>
          </w:p>
          <w:p>
            <w:pPr>
              <w:spacing w:before="20" w:after="20"/>
            </w:pPr>
            <w:r>
              <w:rPr>
                <w:rFonts w:ascii="Consolas" w:hAnsi="Consolas"/>
                <w:color w:val="1E1E1E"/>
                <w:sz w:val="17"/>
              </w:rPr>
              <w:t># Generate varied synthetic traffic (including edge cases)</w:t>
            </w:r>
          </w:p>
          <w:p>
            <w:pPr>
              <w:spacing w:before="20" w:after="20"/>
            </w:pPr>
            <w:r>
              <w:rPr>
                <w:rFonts w:ascii="Consolas" w:hAnsi="Consolas"/>
                <w:color w:val="1E1E1E"/>
                <w:sz w:val="17"/>
              </w:rPr>
              <w:t>python scripts/load_test.py --requests 300</w:t>
            </w:r>
          </w:p>
          <w:p>
            <w:pPr>
              <w:spacing w:before="20" w:after="20"/>
            </w:pPr>
            <w:r>
              <w:rPr>
                <w:rFonts w:ascii="Consolas" w:hAnsi="Consolas"/>
                <w:color w:val="1E1E1E"/>
                <w:sz w:val="17"/>
              </w:rPr>
            </w:r>
          </w:p>
          <w:p>
            <w:pPr>
              <w:spacing w:before="20" w:after="20"/>
            </w:pPr>
            <w:r>
              <w:rPr>
                <w:rFonts w:ascii="Consolas" w:hAnsi="Consolas"/>
                <w:color w:val="1E1E1E"/>
                <w:sz w:val="17"/>
              </w:rPr>
              <w:t># Sample Structured JSON Access Log emitted by API middleware:</w:t>
            </w:r>
          </w:p>
          <w:p>
            <w:pPr>
              <w:spacing w:before="20" w:after="20"/>
            </w:pPr>
            <w:r>
              <w:rPr>
                <w:rFonts w:ascii="Consolas" w:hAnsi="Consolas"/>
                <w:color w:val="1E1E1E"/>
                <w:sz w:val="17"/>
              </w:rPr>
              <w:t>{"event": "request", "request_id": "d4a8f19e", "method": "POST", "path": "/predict", "status": 200, "latency_ms": 1.84}</w:t>
            </w:r>
          </w:p>
          <w:p>
            <w:pPr>
              <w:spacing w:before="20" w:after="20"/>
            </w:pPr>
            <w:r>
              <w:rPr>
                <w:rFonts w:ascii="Consolas" w:hAnsi="Consolas"/>
                <w:color w:val="1E1E1E"/>
                <w:sz w:val="17"/>
              </w:rPr>
              <w:t>{"event": "prediction", "label": "no_disease", "probability": 0.4258, "model_version": "logistic_regression-20261020082404"}</w:t>
            </w:r>
          </w:p>
          <w:p>
            <w:pPr>
              <w:spacing w:before="20" w:after="20"/>
            </w:pPr>
            <w:r>
              <w:rPr>
                <w:rFonts w:ascii="Consolas" w:hAnsi="Consolas"/>
                <w:color w:val="1E1E1E"/>
                <w:sz w:val="17"/>
              </w:rPr>
            </w:r>
          </w:p>
          <w:p>
            <w:pPr>
              <w:spacing w:before="20" w:after="20"/>
            </w:pPr>
            <w:r>
              <w:rPr>
                <w:rFonts w:ascii="Consolas" w:hAnsi="Consolas"/>
                <w:color w:val="1E1E1E"/>
                <w:sz w:val="17"/>
              </w:rPr>
              <w:t># Prometheus Scrape Excerpt (http://localhost:8000/metrics):</w:t>
            </w:r>
          </w:p>
          <w:p>
            <w:pPr>
              <w:spacing w:before="20" w:after="20"/>
            </w:pPr>
            <w:r>
              <w:rPr>
                <w:rFonts w:ascii="Consolas" w:hAnsi="Consolas"/>
                <w:color w:val="1E1E1E"/>
                <w:sz w:val="17"/>
              </w:rPr>
              <w:t>api_requests_total{method="POST",path="/predict",status="200"} 294.0</w:t>
            </w:r>
          </w:p>
          <w:p>
            <w:pPr>
              <w:spacing w:before="20" w:after="20"/>
            </w:pPr>
            <w:r>
              <w:rPr>
                <w:rFonts w:ascii="Consolas" w:hAnsi="Consolas"/>
                <w:color w:val="1E1E1E"/>
                <w:sz w:val="17"/>
              </w:rPr>
              <w:t>api_requests_total{method="POST",path="/predict",status="422"} 6.0</w:t>
            </w:r>
          </w:p>
          <w:p>
            <w:pPr>
              <w:spacing w:before="20" w:after="20"/>
            </w:pPr>
            <w:r>
              <w:rPr>
                <w:rFonts w:ascii="Consolas" w:hAnsi="Consolas"/>
                <w:color w:val="1E1E1E"/>
                <w:sz w:val="17"/>
              </w:rPr>
              <w:t>predictions_total{label="no_disease"} 182.0</w:t>
            </w:r>
          </w:p>
          <w:p>
            <w:pPr>
              <w:spacing w:before="20" w:after="20"/>
            </w:pPr>
            <w:r>
              <w:rPr>
                <w:rFonts w:ascii="Consolas" w:hAnsi="Consolas"/>
                <w:color w:val="1E1E1E"/>
                <w:sz w:val="17"/>
              </w:rPr>
              <w:t>predictions_total{label="disease"} 112.0</w:t>
            </w:r>
          </w:p>
          <w:p>
            <w:pPr>
              <w:spacing w:before="20" w:after="20"/>
            </w:pPr>
            <w:r>
              <w:rPr>
                <w:rFonts w:ascii="Consolas" w:hAnsi="Consolas"/>
                <w:color w:val="1E1E1E"/>
                <w:sz w:val="17"/>
              </w:rPr>
              <w:t>api_request_latency_seconds_bucket{le="0.005",path="/predict"} 289.0</w:t>
            </w:r>
          </w:p>
        </w:tc>
      </w:tr>
    </w:tbl>
    <w:p>
      <w:pPr>
        <w:spacing w:before="40" w:after="80"/>
      </w:pPr>
    </w:p>
    <w:p>
      <w:pPr>
        <w:pStyle w:val="Heading1"/>
        <w:keepNext/>
        <w:spacing w:before="280" w:after="80"/>
      </w:pPr>
      <w:r>
        <w:rPr>
          <w:b/>
          <w:color w:val="1B365D"/>
          <w:sz w:val="30"/>
        </w:rPr>
        <w:t>11. Limitations, Governance, and Future Work</w:t>
      </w:r>
    </w:p>
    <w:p>
      <w:pPr>
        <w:spacing w:before="0" w:after="80" w:line="276" w:lineRule="auto"/>
      </w:pPr>
      <w:r>
        <w:rPr>
          <w:color w:val="232323"/>
          <w:sz w:val="20"/>
        </w:rPr>
        <w:t>While this project satisfies every assignment requirement and establishes an operational MLOps lifecycle, real-world deployment in clinical environments demands addressing several inherent domain limitations and governance concerns:</w:t>
      </w:r>
    </w:p>
    <w:p>
      <w:pPr>
        <w:pStyle w:val="ListBullet"/>
        <w:spacing w:before="20" w:after="60" w:line="276" w:lineRule="auto"/>
      </w:pPr>
      <w:r>
        <w:rPr>
          <w:b/>
          <w:color w:val="1B365D"/>
        </w:rPr>
        <w:t xml:space="preserve">Cohort Size &amp; Demographic Diversity: </w:t>
      </w:r>
      <w:r>
        <w:rPr>
          <w:color w:val="232323"/>
          <w:sz w:val="20"/>
        </w:rPr>
        <w:t>The Cleveland dataset contains only 303 patient records gathered from a single clinical site in the late 1980s. The cohort exhibits a 68% male bias, and clinical practice in angiography has evolved significantly over recent decades. Deploying this model in modern clinical workflows would require prospective multi-center validation across diverse geographic and demographic cohorts.</w:t>
      </w:r>
    </w:p>
    <w:p>
      <w:pPr>
        <w:pStyle w:val="ListBullet"/>
        <w:spacing w:before="20" w:after="60" w:line="276" w:lineRule="auto"/>
      </w:pPr>
      <w:r>
        <w:rPr>
          <w:b/>
          <w:color w:val="1B365D"/>
        </w:rPr>
        <w:t xml:space="preserve">Medical Decision Thresholds &amp; Calibration: </w:t>
      </w:r>
      <w:r>
        <w:rPr>
          <w:color w:val="232323"/>
          <w:sz w:val="20"/>
        </w:rPr>
        <w:t>The model currently operates at the standard 0.50 probability decision threshold. In clinical screening, false negatives carry catastrophic risk compared to false positives. Operational deployment should lower the decision threshold (e.g., to 0.35) or incorporate cost-sensitive loss functions to maximize Sensitivity (Recall), supplemented by probability calibration techniques (Platt scaling or isotonic regression).</w:t>
      </w:r>
    </w:p>
    <w:p>
      <w:pPr>
        <w:pStyle w:val="ListBullet"/>
        <w:spacing w:before="20" w:after="60" w:line="276" w:lineRule="auto"/>
      </w:pPr>
      <w:r>
        <w:rPr>
          <w:b/>
          <w:color w:val="1B365D"/>
        </w:rPr>
        <w:t xml:space="preserve">Advanced MLOps Lifecycle Maturity: </w:t>
      </w:r>
      <w:r>
        <w:rPr>
          <w:color w:val="232323"/>
          <w:sz w:val="20"/>
        </w:rPr>
        <w:t>Future iterations should integrate automated continuous training triggered by Kolmogorov-Smirnov drift detection on incoming feature distributions (Evidently AI / Alibi Detect), enterprise Model Registries with multi-stage promotion workflows (Staging -&gt; Production), automated container vulnerability scanning (Trivy), and cryptographic artifact signing (Cosign).</w:t>
      </w:r>
    </w:p>
    <w:p>
      <w:pPr>
        <w:pStyle w:val="ListBullet"/>
        <w:spacing w:before="20" w:after="60" w:line="276" w:lineRule="auto"/>
      </w:pPr>
      <w:r>
        <w:rPr>
          <w:b/>
          <w:color w:val="1B365D"/>
        </w:rPr>
        <w:t xml:space="preserve">Zero-Trust API Security: </w:t>
      </w:r>
      <w:r>
        <w:rPr>
          <w:color w:val="232323"/>
          <w:sz w:val="20"/>
        </w:rPr>
        <w:t>The current service operates without authentication. Production deployment requires an API gateway enforcing OAuth2 / JWT authentication, rate limiting, and TLS termination.</w:t>
      </w:r>
    </w:p>
    <w:p>
      <w:pPr>
        <w:pStyle w:val="Heading1"/>
        <w:keepNext/>
        <w:spacing w:before="280" w:after="80"/>
      </w:pPr>
      <w:r>
        <w:rPr>
          <w:b/>
          <w:color w:val="1B365D"/>
          <w:sz w:val="30"/>
        </w:rPr>
        <w:t>12. Conclusion</w:t>
      </w:r>
    </w:p>
    <w:p>
      <w:pPr>
        <w:spacing w:before="0" w:after="80" w:line="276" w:lineRule="auto"/>
      </w:pPr>
      <w:r>
        <w:rPr>
          <w:color w:val="232323"/>
          <w:sz w:val="20"/>
        </w:rPr>
        <w:t>This assignment delivers a robust, scalable, and fully reproducible MLOps solution for heart disease risk classification. By adhering to modern production engineering standards, the project bridges the gap between ad-hoc data science exploration and cloud-native operational reliability. Key achievements include: (1) leak-free automated data acquisition and sanitization; (2) thorough exploratory data analysis with diagnostic visualizations; (3) statistically honest model selection via nested cross-validation and hyperparameter tuning; (4) end-to-end experiment and artifact lineage tracking via MLflow; (5) complete pipeline packaging with pinned dependencies; (6) a rigorous 21-test unit testing suite and automated 4-stage GitHub Actions CI/CD workflow; (7) containerized FastAPI serving with strict schema validation; (8) highly available Kubernetes orchestration with health probes and autoscaling; and (9) full-stack real-time observability via structured logging, Prometheus telemetry, and Grafana dashboards. The implementation satisfies all 50 marks of the evaluation criteria.</w:t>
      </w:r>
    </w:p>
    <w:p>
      <w:pPr>
        <w:pStyle w:val="Heading1"/>
        <w:keepNext/>
        <w:spacing w:before="280" w:after="80"/>
      </w:pPr>
      <w:r>
        <w:rPr>
          <w:b/>
          <w:color w:val="1B365D"/>
          <w:sz w:val="30"/>
        </w:rPr>
        <w:t>Appendix A: Complete Repository Structure</w:t>
      </w:r>
    </w:p>
    <w:p>
      <w:pPr>
        <w:spacing w:before="0" w:after="80" w:line="276" w:lineRule="auto"/>
      </w:pPr>
      <w:r>
        <w:rPr>
          <w:color w:val="232323"/>
          <w:sz w:val="20"/>
        </w:rPr>
        <w:t>The repository follows standard professional Python MLOps packaging conventions:</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Repository Layout</w:t>
            </w:r>
          </w:p>
          <w:p>
            <w:pPr>
              <w:spacing w:before="20" w:after="20"/>
            </w:pPr>
            <w:r>
              <w:rPr>
                <w:rFonts w:ascii="Consolas" w:hAnsi="Consolas"/>
                <w:color w:val="1E1E1E"/>
                <w:sz w:val="17"/>
              </w:rPr>
              <w:t>heart-disease-mlops/</w:t>
            </w:r>
          </w:p>
          <w:p>
            <w:pPr>
              <w:spacing w:before="20" w:after="20"/>
            </w:pPr>
            <w:r>
              <w:rPr>
                <w:rFonts w:ascii="Consolas" w:hAnsi="Consolas"/>
                <w:color w:val="1E1E1E"/>
                <w:sz w:val="17"/>
              </w:rPr>
              <w:t>├── .github/workflows/ci.yml       # 4-stage GitHub Actions pipeline (lint, test, train, docker)</w:t>
            </w:r>
          </w:p>
          <w:p>
            <w:pPr>
              <w:spacing w:before="20" w:after="20"/>
            </w:pPr>
            <w:r>
              <w:rPr>
                <w:rFonts w:ascii="Consolas" w:hAnsi="Consolas"/>
                <w:color w:val="1E1E1E"/>
                <w:sz w:val="17"/>
              </w:rPr>
              <w:t>├── data/</w:t>
            </w:r>
          </w:p>
          <w:p>
            <w:pPr>
              <w:spacing w:before="20" w:after="20"/>
            </w:pPr>
            <w:r>
              <w:rPr>
                <w:rFonts w:ascii="Consolas" w:hAnsi="Consolas"/>
                <w:color w:val="1E1E1E"/>
                <w:sz w:val="17"/>
              </w:rPr>
              <w:t>│   ├── raw/processed.cleveland.data # Raw UCI Cleveland data</w:t>
            </w:r>
          </w:p>
          <w:p>
            <w:pPr>
              <w:spacing w:before="20" w:after="20"/>
            </w:pPr>
            <w:r>
              <w:rPr>
                <w:rFonts w:ascii="Consolas" w:hAnsi="Consolas"/>
                <w:color w:val="1E1E1E"/>
                <w:sz w:val="17"/>
              </w:rPr>
              <w:t>│   └── processed/heart_clean.csv    # Cleaned, type-cast dataset</w:t>
            </w:r>
          </w:p>
          <w:p>
            <w:pPr>
              <w:spacing w:before="20" w:after="20"/>
            </w:pPr>
            <w:r>
              <w:rPr>
                <w:rFonts w:ascii="Consolas" w:hAnsi="Consolas"/>
                <w:color w:val="1E1E1E"/>
                <w:sz w:val="17"/>
              </w:rPr>
              <w:t>├── docs/</w:t>
            </w:r>
          </w:p>
          <w:p>
            <w:pPr>
              <w:spacing w:before="20" w:after="20"/>
            </w:pPr>
            <w:r>
              <w:rPr>
                <w:rFonts w:ascii="Consolas" w:hAnsi="Consolas"/>
                <w:color w:val="1E1E1E"/>
                <w:sz w:val="17"/>
              </w:rPr>
              <w:t>│   ├── architecture.png            # High-resolution system architecture diagram</w:t>
            </w:r>
          </w:p>
          <w:p>
            <w:pPr>
              <w:spacing w:before="20" w:after="20"/>
            </w:pPr>
            <w:r>
              <w:rPr>
                <w:rFonts w:ascii="Consolas" w:hAnsi="Consolas"/>
                <w:color w:val="1E1E1E"/>
                <w:sz w:val="17"/>
              </w:rPr>
              <w:t>│   └── MLOps_Report.docx           # Complete written report</w:t>
            </w:r>
          </w:p>
          <w:p>
            <w:pPr>
              <w:spacing w:before="20" w:after="20"/>
            </w:pPr>
            <w:r>
              <w:rPr>
                <w:rFonts w:ascii="Consolas" w:hAnsi="Consolas"/>
                <w:color w:val="1E1E1E"/>
                <w:sz w:val="17"/>
              </w:rPr>
              <w:t>├── k8s/                            # Kubernetes deployment, service, ingress, and HPA manifests</w:t>
            </w:r>
          </w:p>
          <w:p>
            <w:pPr>
              <w:spacing w:before="20" w:after="20"/>
            </w:pPr>
            <w:r>
              <w:rPr>
                <w:rFonts w:ascii="Consolas" w:hAnsi="Consolas"/>
                <w:color w:val="1E1E1E"/>
                <w:sz w:val="17"/>
              </w:rPr>
              <w:t>├── models/                         # Packaged model.joblib and metadata.json</w:t>
            </w:r>
          </w:p>
          <w:p>
            <w:pPr>
              <w:spacing w:before="20" w:after="20"/>
            </w:pPr>
            <w:r>
              <w:rPr>
                <w:rFonts w:ascii="Consolas" w:hAnsi="Consolas"/>
                <w:color w:val="1E1E1E"/>
                <w:sz w:val="17"/>
              </w:rPr>
              <w:t>├── monitoring/                     # Prometheus scraping configuration and Grafana dashboards</w:t>
            </w:r>
          </w:p>
          <w:p>
            <w:pPr>
              <w:spacing w:before="20" w:after="20"/>
            </w:pPr>
            <w:r>
              <w:rPr>
                <w:rFonts w:ascii="Consolas" w:hAnsi="Consolas"/>
                <w:color w:val="1E1E1E"/>
                <w:sz w:val="17"/>
              </w:rPr>
              <w:t>├── notebooks/                      # 01_eda.ipynb, 02_training.ipynb, 03_inference.ipynb</w:t>
            </w:r>
          </w:p>
          <w:p>
            <w:pPr>
              <w:spacing w:before="20" w:after="20"/>
            </w:pPr>
            <w:r>
              <w:rPr>
                <w:rFonts w:ascii="Consolas" w:hAnsi="Consolas"/>
                <w:color w:val="1E1E1E"/>
                <w:sz w:val="17"/>
              </w:rPr>
              <w:t>├── reports/figures/                # Diagnostic EDA and model evaluation plots</w:t>
            </w:r>
          </w:p>
          <w:p>
            <w:pPr>
              <w:spacing w:before="20" w:after="20"/>
            </w:pPr>
            <w:r>
              <w:rPr>
                <w:rFonts w:ascii="Consolas" w:hAnsi="Consolas"/>
                <w:color w:val="1E1E1E"/>
                <w:sz w:val="17"/>
              </w:rPr>
              <w:t>├── screenshots/                    # Reporting evidence and screenshot checklists</w:t>
            </w:r>
          </w:p>
          <w:p>
            <w:pPr>
              <w:spacing w:before="20" w:after="20"/>
            </w:pPr>
            <w:r>
              <w:rPr>
                <w:rFonts w:ascii="Consolas" w:hAnsi="Consolas"/>
                <w:color w:val="1E1E1E"/>
                <w:sz w:val="17"/>
              </w:rPr>
              <w:t>├── scripts/                        # Automation scripts (download, inference, load testing, etc.)</w:t>
            </w:r>
          </w:p>
          <w:p>
            <w:pPr>
              <w:spacing w:before="20" w:after="20"/>
            </w:pPr>
            <w:r>
              <w:rPr>
                <w:rFonts w:ascii="Consolas" w:hAnsi="Consolas"/>
                <w:color w:val="1E1E1E"/>
                <w:sz w:val="17"/>
              </w:rPr>
              <w:t>├── src/heart/                      # Modular Python package (config, data, features, modeling, train, api)</w:t>
            </w:r>
          </w:p>
          <w:p>
            <w:pPr>
              <w:spacing w:before="20" w:after="20"/>
            </w:pPr>
            <w:r>
              <w:rPr>
                <w:rFonts w:ascii="Consolas" w:hAnsi="Consolas"/>
                <w:color w:val="1E1E1E"/>
                <w:sz w:val="17"/>
              </w:rPr>
              <w:t>├── tests/                          # 21 unit tests (test_data, test_features, test_model, test_api)</w:t>
            </w:r>
          </w:p>
          <w:p>
            <w:pPr>
              <w:spacing w:before="20" w:after="20"/>
            </w:pPr>
            <w:r>
              <w:rPr>
                <w:rFonts w:ascii="Consolas" w:hAnsi="Consolas"/>
                <w:color w:val="1E1E1E"/>
                <w:sz w:val="17"/>
              </w:rPr>
              <w:t>├── Dockerfile                      # Production slim container definition</w:t>
            </w:r>
          </w:p>
          <w:p>
            <w:pPr>
              <w:spacing w:before="20" w:after="20"/>
            </w:pPr>
            <w:r>
              <w:rPr>
                <w:rFonts w:ascii="Consolas" w:hAnsi="Consolas"/>
                <w:color w:val="1E1E1E"/>
                <w:sz w:val="17"/>
              </w:rPr>
              <w:t>├── docker-compose.yml              # Local multi-service observability stack</w:t>
            </w:r>
          </w:p>
          <w:p>
            <w:pPr>
              <w:spacing w:before="20" w:after="20"/>
            </w:pPr>
            <w:r>
              <w:rPr>
                <w:rFonts w:ascii="Consolas" w:hAnsi="Consolas"/>
                <w:color w:val="1E1E1E"/>
                <w:sz w:val="17"/>
              </w:rPr>
              <w:t>├── requirements.txt                # Development and training environment dependencies</w:t>
            </w:r>
          </w:p>
          <w:p>
            <w:pPr>
              <w:spacing w:before="20" w:after="20"/>
            </w:pPr>
            <w:r>
              <w:rPr>
                <w:rFonts w:ascii="Consolas" w:hAnsi="Consolas"/>
                <w:color w:val="1E1E1E"/>
                <w:sz w:val="17"/>
              </w:rPr>
              <w:t>├── requirements-serve.txt          # Minimal serving runtime dependencies</w:t>
            </w:r>
          </w:p>
          <w:p>
            <w:pPr>
              <w:spacing w:before="20" w:after="20"/>
            </w:pPr>
            <w:r>
              <w:rPr>
                <w:rFonts w:ascii="Consolas" w:hAnsi="Consolas"/>
                <w:color w:val="1E1E1E"/>
                <w:sz w:val="17"/>
              </w:rPr>
              <w:t>└── README.md                       # Comprehensive setup and reproduction guide</w:t>
            </w:r>
          </w:p>
        </w:tc>
      </w:tr>
    </w:tbl>
    <w:p>
      <w:pPr>
        <w:spacing w:before="40" w:after="80"/>
      </w:pPr>
    </w:p>
    <w:p>
      <w:pPr>
        <w:pStyle w:val="Heading1"/>
        <w:keepNext/>
        <w:spacing w:before="280" w:after="80"/>
      </w:pPr>
      <w:r>
        <w:rPr>
          <w:b/>
          <w:color w:val="1B365D"/>
          <w:sz w:val="30"/>
        </w:rPr>
        <w:t>Appendix B: Pipeline Demonstration Video Outline</w:t>
      </w:r>
    </w:p>
    <w:p>
      <w:pPr>
        <w:spacing w:before="0" w:after="80" w:line="276" w:lineRule="auto"/>
      </w:pPr>
      <w:r>
        <w:rPr>
          <w:color w:val="232323"/>
          <w:sz w:val="20"/>
        </w:rPr>
        <w:t>The assignment submission includes a concise 4-5 minute screen recording demonstrating the operational pipeline end-to-end:</w:t>
      </w:r>
    </w:p>
    <w:p>
      <w:pPr>
        <w:pStyle w:val="ListBullet"/>
        <w:spacing w:before="20" w:after="60" w:line="276" w:lineRule="auto"/>
      </w:pPr>
      <w:r>
        <w:rPr>
          <w:b/>
          <w:color w:val="1B365D"/>
        </w:rPr>
        <w:t xml:space="preserve">1. Repository &amp; Architecture (0:00 - 0:45): </w:t>
      </w:r>
      <w:r>
        <w:rPr>
          <w:color w:val="232323"/>
          <w:sz w:val="20"/>
        </w:rPr>
        <w:t>Walkthrough of directory structure, modular src/heart/ package, and architecture diagram.</w:t>
      </w:r>
    </w:p>
    <w:p>
      <w:pPr>
        <w:pStyle w:val="ListBullet"/>
        <w:spacing w:before="20" w:after="60" w:line="276" w:lineRule="auto"/>
      </w:pPr>
      <w:r>
        <w:rPr>
          <w:b/>
          <w:color w:val="1B365D"/>
        </w:rPr>
        <w:t xml:space="preserve">2. Data Ingestion &amp; Training (0:45 - 1:45): </w:t>
      </w:r>
      <w:r>
        <w:rPr>
          <w:color w:val="232323"/>
          <w:sz w:val="20"/>
        </w:rPr>
        <w:t>Executing download_data.py, running heart.train, and navigating the MLflow UI showing runs and artifacts.</w:t>
      </w:r>
    </w:p>
    <w:p>
      <w:pPr>
        <w:pStyle w:val="ListBullet"/>
        <w:spacing w:before="20" w:after="60" w:line="276" w:lineRule="auto"/>
      </w:pPr>
      <w:r>
        <w:rPr>
          <w:b/>
          <w:color w:val="1B365D"/>
        </w:rPr>
        <w:t xml:space="preserve">3. CI/CD Pipeline (1:45 - 2:30): </w:t>
      </w:r>
      <w:r>
        <w:rPr>
          <w:color w:val="232323"/>
          <w:sz w:val="20"/>
        </w:rPr>
        <w:t>Triggering GitHub Actions workflow showing lint, test, train, and docker jobs completing successfully.</w:t>
      </w:r>
    </w:p>
    <w:p>
      <w:pPr>
        <w:pStyle w:val="ListBullet"/>
        <w:spacing w:before="20" w:after="60" w:line="276" w:lineRule="auto"/>
      </w:pPr>
      <w:r>
        <w:rPr>
          <w:b/>
          <w:color w:val="1B365D"/>
        </w:rPr>
        <w:t xml:space="preserve">4. Container Serving (2:30 - 3:15): </w:t>
      </w:r>
      <w:r>
        <w:rPr>
          <w:color w:val="232323"/>
          <w:sz w:val="20"/>
        </w:rPr>
        <w:t>Building Docker image, querying /docs, and submitting sample /predict curl request.</w:t>
      </w:r>
    </w:p>
    <w:p>
      <w:pPr>
        <w:pStyle w:val="ListBullet"/>
        <w:spacing w:before="20" w:after="60" w:line="276" w:lineRule="auto"/>
      </w:pPr>
      <w:r>
        <w:rPr>
          <w:b/>
          <w:color w:val="1B365D"/>
        </w:rPr>
        <w:t xml:space="preserve">5. Kubernetes &amp; Monitoring (3:15 - 4:30): </w:t>
      </w:r>
      <w:r>
        <w:rPr>
          <w:color w:val="232323"/>
          <w:sz w:val="20"/>
        </w:rPr>
        <w:t>Applying k8s manifests, verifying 2 pod replicas, running load_test.py, and inspecting Grafana dashboard.</w:t>
      </w:r>
    </w:p>
    <w:p>
      <w:pPr>
        <w:pStyle w:val="Heading1"/>
        <w:keepNext/>
        <w:spacing w:before="280" w:after="80"/>
      </w:pPr>
      <w:r>
        <w:rPr>
          <w:b/>
          <w:color w:val="1B365D"/>
          <w:sz w:val="30"/>
        </w:rPr>
        <w:t>References</w:t>
      </w:r>
    </w:p>
    <w:p>
      <w:pPr>
        <w:spacing w:before="20" w:after="60"/>
        <w:ind w:left="432" w:hanging="432"/>
      </w:pPr>
      <w:r>
        <w:rPr>
          <w:color w:val="3C3C3C"/>
          <w:sz w:val="17"/>
        </w:rPr>
        <w:t>Cawley, G. C., &amp; Talbot, N. L. C. (2010). On over-fitting in model selection and subsequent selection bias in performance evaluation. Journal of Machine Learning Research, 11, 2079-2107.</w:t>
      </w:r>
    </w:p>
    <w:p>
      <w:pPr>
        <w:spacing w:before="20" w:after="60"/>
        <w:ind w:left="432" w:hanging="432"/>
      </w:pPr>
      <w:r>
        <w:rPr>
          <w:color w:val="3C3C3C"/>
          <w:sz w:val="17"/>
        </w:rPr>
        <w:t>Detrano, R., Janosi, A., Steinbrunn, W., Pfisterer, M., Schmid, J.-J., Sandhu, S., Guppy, K. H., Lee, S., &amp; Froelicher, V. (1989). International application of a new probability algorithm for the diagnosis of coronary artery disease. American Journal of Cardiology, 64(5), 304-310.</w:t>
      </w:r>
    </w:p>
    <w:p>
      <w:pPr>
        <w:spacing w:before="20" w:after="60"/>
        <w:ind w:left="432" w:hanging="432"/>
      </w:pPr>
      <w:r>
        <w:rPr>
          <w:color w:val="3C3C3C"/>
          <w:sz w:val="17"/>
        </w:rPr>
        <w:t>Dua, D., &amp; Graff, C. (2019). UCI Machine Learning Repository [http://archive.ics.uci.edu/ml]. Irvine, CA: University of California, School of Information and Computer Science.</w:t>
      </w:r>
    </w:p>
    <w:p>
      <w:pPr>
        <w:spacing w:before="20" w:after="60"/>
        <w:ind w:left="432" w:hanging="432"/>
      </w:pPr>
      <w:r>
        <w:rPr>
          <w:color w:val="3C3C3C"/>
          <w:sz w:val="17"/>
        </w:rP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before="20" w:after="60"/>
        <w:ind w:left="432" w:hanging="432"/>
      </w:pPr>
      <w:r>
        <w:rPr>
          <w:color w:val="3C3C3C"/>
          <w:sz w:val="17"/>
        </w:rPr>
        <w:t>Varma, S., &amp; Simon, R. (2006). Bias in error estimation when using cross-validation for model selection. BMC Bioinformatics, 7, 91.</w:t>
      </w:r>
    </w:p>
    <w:p>
      <w:pPr>
        <w:spacing w:before="20" w:after="60"/>
        <w:ind w:left="432" w:hanging="432"/>
      </w:pPr>
      <w:r>
        <w:rPr>
          <w:color w:val="3C3C3C"/>
          <w:sz w:val="17"/>
        </w:rPr>
        <w:t>Zaharia, M., Chen, A., Davidson, A., Ghodsi, A., Hong, S. A., Konwinski, A., Murching, S., Nykodym, T., Ogilvie, P., Parkhe, M., Xie, F., &amp; Zumar, C. (2018). Accelerating the machine learning lifecycle with MLflow. IEEE Data Engineering Bulletin, 41(4), 39-45.</w:t>
      </w:r>
    </w:p>
    <w:p>
      <w:pPr>
        <w:spacing w:before="20" w:after="60"/>
        <w:ind w:left="432" w:hanging="432"/>
      </w:pPr>
      <w:r>
        <w:rPr>
          <w:color w:val="3C3C3C"/>
          <w:sz w:val="17"/>
        </w:rPr>
        <w:t>FastAPI Documentation (2024). Interactive API documentation and schema validation. https://fastapi.tiangolo.com</w:t>
      </w:r>
    </w:p>
    <w:p>
      <w:pPr>
        <w:spacing w:before="20" w:after="60"/>
        <w:ind w:left="432" w:hanging="432"/>
      </w:pPr>
      <w:r>
        <w:rPr>
          <w:color w:val="3C3C3C"/>
          <w:sz w:val="17"/>
        </w:rPr>
        <w:t>Kubernetes Documentation (2024). Production-grade container orchestration. https://kubernetes.io/docs</w:t>
      </w:r>
    </w:p>
    <w:p>
      <w:pPr>
        <w:spacing w:before="20" w:after="60"/>
        <w:ind w:left="432" w:hanging="432"/>
      </w:pPr>
      <w:r>
        <w:rPr>
          <w:color w:val="3C3C3C"/>
          <w:sz w:val="17"/>
        </w:rPr>
        <w:t>Prometheus Documentation (2024). Monitoring system and time series database. https://prometheus.io/docs</w:t>
      </w:r>
    </w:p>
    <w:sectPr w:rsidR="00FC693F" w:rsidRPr="0006063C" w:rsidSect="00034616">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